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10" w:type="pct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7776"/>
      </w:tblGrid>
      <w:tr w:rsidR="00495AEE" w:rsidRPr="00495AEE" w14:paraId="4485EE41" w14:textId="77777777" w:rsidTr="007B4298">
        <w:trPr>
          <w:trHeight w:val="800"/>
        </w:trPr>
        <w:tc>
          <w:tcPr>
            <w:tcW w:w="5000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746A5" w14:textId="3DCBD36A" w:rsidR="00495AEE" w:rsidRPr="007B4298" w:rsidRDefault="005D023E" w:rsidP="007B4298">
            <w:pPr>
              <w:spacing w:before="240" w:after="0" w:line="240" w:lineRule="auto"/>
              <w:jc w:val="center"/>
              <w:rPr>
                <w:rFonts w:ascii="Verdana" w:eastAsia="Calibri" w:hAnsi="Verdana" w:cs="Times New Roman"/>
                <w:b/>
                <w:color w:val="002060"/>
                <w:sz w:val="24"/>
                <w:szCs w:val="18"/>
                <w:lang w:eastAsia="zh-TW"/>
              </w:rPr>
            </w:pPr>
            <w:r>
              <w:rPr>
                <w:rFonts w:ascii="Verdana" w:eastAsia="Calibri" w:hAnsi="Verdana" w:cs="Times New Roman"/>
                <w:b/>
                <w:noProof/>
                <w:color w:val="002060"/>
                <w:sz w:val="24"/>
                <w:szCs w:val="18"/>
                <w:lang w:eastAsia="zh-TW"/>
              </w:rPr>
              <w:drawing>
                <wp:anchor distT="0" distB="0" distL="114300" distR="114300" simplePos="0" relativeHeight="251658240" behindDoc="0" locked="0" layoutInCell="1" allowOverlap="1" wp14:anchorId="4F7A660B" wp14:editId="4E2BA10C">
                  <wp:simplePos x="0" y="0"/>
                  <wp:positionH relativeFrom="column">
                    <wp:posOffset>-1745615</wp:posOffset>
                  </wp:positionH>
                  <wp:positionV relativeFrom="paragraph">
                    <wp:posOffset>147955</wp:posOffset>
                  </wp:positionV>
                  <wp:extent cx="1920240" cy="533400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5AEE" w:rsidRPr="007B4298">
              <w:rPr>
                <w:rFonts w:ascii="Verdana" w:eastAsia="Calibri" w:hAnsi="Verdana" w:cs="Times New Roman"/>
                <w:b/>
                <w:color w:val="002060"/>
                <w:sz w:val="24"/>
                <w:szCs w:val="18"/>
                <w:lang w:eastAsia="zh-TW"/>
              </w:rPr>
              <w:t>Développement de l’emploi par des formations inclusives (DEFI)</w:t>
            </w:r>
          </w:p>
          <w:p w14:paraId="298DEB3B" w14:textId="4333FDDF" w:rsidR="00B11E84" w:rsidRPr="00495AEE" w:rsidRDefault="00B11E84" w:rsidP="007B4298">
            <w:pPr>
              <w:spacing w:before="240"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b/>
                <w:color w:val="002060"/>
                <w:sz w:val="24"/>
                <w:szCs w:val="18"/>
                <w:lang w:eastAsia="zh-TW"/>
              </w:rPr>
              <w:t>GUIDE ET PROCEDURES</w:t>
            </w:r>
          </w:p>
        </w:tc>
      </w:tr>
      <w:tr w:rsidR="00495AEE" w:rsidRPr="00495AEE" w14:paraId="7CD5D052" w14:textId="77777777" w:rsidTr="007B4298">
        <w:trPr>
          <w:trHeight w:val="884"/>
        </w:trPr>
        <w:tc>
          <w:tcPr>
            <w:tcW w:w="1026" w:type="pc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219D0" w14:textId="77777777" w:rsidR="00495AEE" w:rsidRPr="007B4298" w:rsidRDefault="009836F9" w:rsidP="007B4298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Qui établit la convention</w:t>
            </w:r>
            <w:r w:rsidR="00BB31FE"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 ?</w:t>
            </w:r>
          </w:p>
        </w:tc>
        <w:tc>
          <w:tcPr>
            <w:tcW w:w="3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5377A" w14:textId="40C710DF" w:rsidR="00495AEE" w:rsidRPr="007B4298" w:rsidRDefault="00495AEE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41DE00E9" w14:textId="5AFBED71" w:rsidR="00BB31FE" w:rsidRPr="007B4298" w:rsidRDefault="00BB31FE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L’organisme de formation </w:t>
            </w:r>
            <w:proofErr w:type="gramStart"/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est en charge</w:t>
            </w:r>
            <w:proofErr w:type="gramEnd"/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de </w:t>
            </w:r>
            <w:r w:rsidR="00333D81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préétablir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la convention</w:t>
            </w:r>
            <w:r w:rsidR="00DB45CC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en s’assurant au préalable que chaque signataire valide leurs engagements indiqués. L’organisme s’assure de la complétude des informations avant transmission à la </w:t>
            </w:r>
            <w:r w:rsidR="00DB45CC" w:rsidRPr="00B7324A">
              <w:rPr>
                <w:rFonts w:ascii="Verdana" w:eastAsia="Calibri" w:hAnsi="Verdana" w:cs="Times New Roman"/>
                <w:b/>
                <w:bCs/>
                <w:color w:val="000000" w:themeColor="text1"/>
                <w:sz w:val="16"/>
                <w:szCs w:val="16"/>
                <w:lang w:eastAsia="zh-TW"/>
              </w:rPr>
              <w:t>Région</w:t>
            </w:r>
            <w:r w:rsidR="00DB45CC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.</w:t>
            </w:r>
          </w:p>
        </w:tc>
      </w:tr>
      <w:tr w:rsidR="00416C85" w:rsidRPr="00495AEE" w14:paraId="2E2A6279" w14:textId="77777777" w:rsidTr="007B4298">
        <w:trPr>
          <w:trHeight w:val="1406"/>
        </w:trPr>
        <w:tc>
          <w:tcPr>
            <w:tcW w:w="1026" w:type="pc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463EC" w14:textId="6DAC2CC1" w:rsidR="00416C85" w:rsidRPr="007B4298" w:rsidRDefault="00416C85" w:rsidP="007B4298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 xml:space="preserve">Quelles </w:t>
            </w:r>
            <w:r w:rsidR="00513B3A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 xml:space="preserve">sont les </w:t>
            </w: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étapes pour la planification de la signature ?</w:t>
            </w:r>
          </w:p>
        </w:tc>
        <w:tc>
          <w:tcPr>
            <w:tcW w:w="3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2981D" w14:textId="77777777" w:rsidR="007C6599" w:rsidRPr="007B4298" w:rsidRDefault="007C6599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u w:val="single"/>
                <w:lang w:eastAsia="zh-TW"/>
              </w:rPr>
            </w:pPr>
          </w:p>
          <w:p w14:paraId="2BE2F30F" w14:textId="2B5163E8" w:rsidR="00416C85" w:rsidRPr="007B4298" w:rsidRDefault="00416C85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u w:val="single"/>
                <w:lang w:eastAsia="zh-TW"/>
              </w:rPr>
            </w:pPr>
            <w:r w:rsidRPr="00B7324A">
              <w:rPr>
                <w:rFonts w:ascii="Verdana" w:eastAsia="Calibri" w:hAnsi="Verdana" w:cs="Times New Roman"/>
                <w:b/>
                <w:bCs/>
                <w:color w:val="000000" w:themeColor="text1"/>
                <w:sz w:val="16"/>
                <w:szCs w:val="16"/>
                <w:u w:val="single"/>
                <w:lang w:eastAsia="zh-TW"/>
              </w:rPr>
              <w:t>1 mois ½ avant le début de l’action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u w:val="single"/>
                <w:lang w:eastAsia="zh-TW"/>
              </w:rPr>
              <w:t xml:space="preserve"> : </w:t>
            </w:r>
          </w:p>
          <w:p w14:paraId="29EA92BC" w14:textId="77777777" w:rsidR="0071581B" w:rsidRDefault="00416C85" w:rsidP="00041BEB">
            <w:pPr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L’OF contacte le cabinet </w:t>
            </w:r>
            <w:r w:rsidR="00B65E06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du Président de région 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via l’adresse suivante :  </w:t>
            </w:r>
          </w:p>
          <w:p w14:paraId="775F33A6" w14:textId="5BD18DA4" w:rsidR="007C6599" w:rsidRPr="007B4298" w:rsidRDefault="00000000" w:rsidP="00041BEB">
            <w:pPr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hyperlink r:id="rId11" w:history="1">
              <w:r w:rsidR="0071581B" w:rsidRPr="00CA4928">
                <w:rPr>
                  <w:rStyle w:val="Lienhypertexte"/>
                  <w:rFonts w:ascii="Verdana" w:hAnsi="Verdana"/>
                  <w:sz w:val="16"/>
                  <w:szCs w:val="16"/>
                </w:rPr>
                <w:t>operation-DEFI@centrevaldeloire.fr</w:t>
              </w:r>
            </w:hyperlink>
            <w:r w:rsidR="005764A7">
              <w:rPr>
                <w:rFonts w:ascii="Verdana" w:hAnsi="Verdana"/>
                <w:sz w:val="16"/>
                <w:szCs w:val="16"/>
              </w:rPr>
              <w:t>,</w:t>
            </w:r>
            <w:r w:rsidR="00D3320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16C85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copie au référent territorial formation en charge du projet, pour solliciter une date de signature et </w:t>
            </w:r>
            <w:r w:rsidR="007C6599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en </w:t>
            </w:r>
            <w:r w:rsidR="00416C85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définir la modalité</w:t>
            </w:r>
            <w:r w:rsidR="007C6599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. </w:t>
            </w:r>
          </w:p>
          <w:p w14:paraId="41CD7B44" w14:textId="1F6D0782" w:rsidR="00416C85" w:rsidRPr="007B4298" w:rsidRDefault="007C6599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Dans le cas d’une signature en présentiel, l’organisme s’assure d’identifier un lieu en capacité d’accueillir les signataires et les stagiaires</w:t>
            </w:r>
            <w:r w:rsidR="00131E7B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. </w:t>
            </w:r>
            <w:r w:rsidR="00FC5C36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Dans la mesure du possible, une signature intra entreprise sera privilégiée. </w:t>
            </w:r>
          </w:p>
          <w:p w14:paraId="34C5CDC9" w14:textId="4253E344" w:rsidR="00131E7B" w:rsidRPr="007B4298" w:rsidRDefault="00131E7B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Dans le cas d’une signature en distanciel, le cabinet se charge de créer le lien Teams et de l’adresser via l’invitation officielle. </w:t>
            </w:r>
          </w:p>
          <w:p w14:paraId="423019E6" w14:textId="77777777" w:rsidR="00131E7B" w:rsidRPr="007B4298" w:rsidRDefault="00131E7B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79481932" w14:textId="77777777" w:rsidR="007C6599" w:rsidRPr="007B4298" w:rsidRDefault="007C6599" w:rsidP="007C6599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i/>
                <w:iCs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i/>
                <w:iCs/>
                <w:color w:val="000000" w:themeColor="text1"/>
                <w:sz w:val="16"/>
                <w:szCs w:val="16"/>
                <w:lang w:eastAsia="zh-TW"/>
              </w:rPr>
              <w:t xml:space="preserve">Lors de cette demande, l’OF précise dans son mail, le nom de l’OF, le nom du contact et les coordonnées téléphoniques. </w:t>
            </w:r>
          </w:p>
          <w:p w14:paraId="13F5D57E" w14:textId="1F98F3FC" w:rsidR="007C6599" w:rsidRPr="007B4298" w:rsidRDefault="007C6599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603D5846" w14:textId="509678BF" w:rsidR="007C6599" w:rsidRPr="007B4298" w:rsidRDefault="007C6599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Dès lors que ces éléments sont connus et validés par le cabinet, l’OF </w:t>
            </w:r>
            <w:proofErr w:type="gramStart"/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est en charge</w:t>
            </w:r>
            <w:proofErr w:type="gramEnd"/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d’organiser la communication de ces informations</w:t>
            </w:r>
            <w:r w:rsidR="00131E7B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, en parallèle de l’invitation officielle, 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à l’ensemble des partenaires du projet. </w:t>
            </w:r>
          </w:p>
          <w:p w14:paraId="03FA2357" w14:textId="5F05BF4B" w:rsidR="00FC5C36" w:rsidRPr="007B4298" w:rsidRDefault="00FC5C36" w:rsidP="007C6599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FC5C36" w:rsidRPr="00495AEE" w14:paraId="15412C3F" w14:textId="77777777" w:rsidTr="007B4298">
        <w:trPr>
          <w:trHeight w:val="1406"/>
        </w:trPr>
        <w:tc>
          <w:tcPr>
            <w:tcW w:w="1026" w:type="pc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40B78" w14:textId="6E8A1AFB" w:rsidR="00FC5C36" w:rsidRPr="007B4298" w:rsidRDefault="00FC5C36" w:rsidP="007B4298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Comment s’organise la signature ?</w:t>
            </w:r>
          </w:p>
        </w:tc>
        <w:tc>
          <w:tcPr>
            <w:tcW w:w="3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196D" w14:textId="77777777" w:rsidR="007C6599" w:rsidRPr="007B4298" w:rsidRDefault="007C6599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173CEDD5" w14:textId="16489863" w:rsidR="00FC5C36" w:rsidRPr="007B4298" w:rsidRDefault="00FC5C36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L’OF capitalise via la « fiche contact</w:t>
            </w:r>
            <w:r w:rsidR="00131E7B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s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 », l’ensemble des coordonnées des interlocuteurs- signataires et leur fonction : entreprises, partenaires institutionnels. </w:t>
            </w:r>
          </w:p>
          <w:p w14:paraId="4B787677" w14:textId="77777777" w:rsidR="007C6599" w:rsidRPr="007B4298" w:rsidRDefault="00FC5C36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Ainsi que les informations afférentes à l’action : </w:t>
            </w:r>
            <w:r w:rsidRPr="007B4298">
              <w:rPr>
                <w:rFonts w:ascii="Verdana" w:eastAsia="Calibri" w:hAnsi="Verdana" w:cs="Times New Roman"/>
                <w:i/>
                <w:iCs/>
                <w:color w:val="000000" w:themeColor="text1"/>
                <w:sz w:val="16"/>
                <w:szCs w:val="16"/>
                <w:lang w:eastAsia="zh-TW"/>
              </w:rPr>
              <w:t xml:space="preserve">le nombre de stagiaires, le nombre d’heures centre / entreprise, le coût </w:t>
            </w:r>
            <w:r w:rsidR="007C6599" w:rsidRPr="007B4298">
              <w:rPr>
                <w:rFonts w:ascii="Verdana" w:eastAsia="Calibri" w:hAnsi="Verdana" w:cs="Times New Roman"/>
                <w:i/>
                <w:iCs/>
                <w:color w:val="000000" w:themeColor="text1"/>
                <w:sz w:val="16"/>
                <w:szCs w:val="16"/>
                <w:lang w:eastAsia="zh-TW"/>
              </w:rPr>
              <w:t xml:space="preserve">total </w:t>
            </w:r>
            <w:r w:rsidRPr="007B4298">
              <w:rPr>
                <w:rFonts w:ascii="Verdana" w:eastAsia="Calibri" w:hAnsi="Verdana" w:cs="Times New Roman"/>
                <w:i/>
                <w:iCs/>
                <w:color w:val="000000" w:themeColor="text1"/>
                <w:sz w:val="16"/>
                <w:szCs w:val="16"/>
                <w:lang w:eastAsia="zh-TW"/>
              </w:rPr>
              <w:t>de la formation, le lieu de la signature</w:t>
            </w:r>
            <w:r w:rsidR="007C6599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. </w:t>
            </w:r>
          </w:p>
          <w:p w14:paraId="62ADC789" w14:textId="3CE6EE31" w:rsidR="00FC5C36" w:rsidRPr="007B4298" w:rsidRDefault="007C6599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i/>
                <w:iCs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L’organisme l’adresse au référent territorial, dans le même temps que l’envoi de la convention.</w:t>
            </w:r>
            <w:r w:rsidRPr="007B4298">
              <w:rPr>
                <w:rFonts w:ascii="Verdana" w:eastAsia="Calibri" w:hAnsi="Verdana" w:cs="Times New Roman"/>
                <w:i/>
                <w:iCs/>
                <w:color w:val="000000" w:themeColor="text1"/>
                <w:sz w:val="16"/>
                <w:szCs w:val="16"/>
                <w:lang w:eastAsia="zh-TW"/>
              </w:rPr>
              <w:t xml:space="preserve"> </w:t>
            </w:r>
          </w:p>
          <w:p w14:paraId="024C9BE1" w14:textId="77777777" w:rsidR="007C6599" w:rsidRPr="007B4298" w:rsidRDefault="007C6599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i/>
                <w:iCs/>
                <w:color w:val="000000" w:themeColor="text1"/>
                <w:sz w:val="16"/>
                <w:szCs w:val="16"/>
                <w:lang w:eastAsia="zh-TW"/>
              </w:rPr>
            </w:pPr>
          </w:p>
          <w:p w14:paraId="1C08B62A" w14:textId="2283FF54" w:rsidR="007C6599" w:rsidRPr="007B4298" w:rsidRDefault="007C6599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i/>
                <w:iCs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i/>
                <w:iCs/>
                <w:color w:val="000000" w:themeColor="text1"/>
                <w:sz w:val="16"/>
                <w:szCs w:val="16"/>
                <w:lang w:eastAsia="zh-TW"/>
              </w:rPr>
              <w:t xml:space="preserve">L’organisme prévoit dans son organisation, la participation des stagiaires à la signature. </w:t>
            </w:r>
          </w:p>
        </w:tc>
      </w:tr>
      <w:tr w:rsidR="00207C5D" w:rsidRPr="00495AEE" w14:paraId="11AC883D" w14:textId="77777777" w:rsidTr="007B4298">
        <w:trPr>
          <w:trHeight w:val="1406"/>
        </w:trPr>
        <w:tc>
          <w:tcPr>
            <w:tcW w:w="1026" w:type="pc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5C649" w14:textId="612783BA" w:rsidR="00BB31FE" w:rsidRPr="007B4298" w:rsidRDefault="00BB31FE" w:rsidP="007B4298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Quand la convention finalisée doit-elle être envoyée ?</w:t>
            </w:r>
          </w:p>
        </w:tc>
        <w:tc>
          <w:tcPr>
            <w:tcW w:w="3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4B8F5" w14:textId="09767419" w:rsidR="00DF31A3" w:rsidRPr="007B4298" w:rsidRDefault="00DF31A3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75416417" w14:textId="7A0ACE06" w:rsidR="002A6702" w:rsidRPr="007B4298" w:rsidRDefault="00BB31FE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L’envoi de la convention</w:t>
            </w:r>
            <w:r w:rsidR="00131E7B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et de la « fiche contacts »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finalisée </w:t>
            </w:r>
            <w:r w:rsidR="002A6702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par l’OF au RTF 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s’effectue à J- 20 avant la signature</w:t>
            </w:r>
            <w:r w:rsidR="002A6702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pour relecture.</w:t>
            </w:r>
          </w:p>
          <w:p w14:paraId="51E02864" w14:textId="77777777" w:rsidR="002A6702" w:rsidRPr="007B4298" w:rsidRDefault="002A6702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13287210" w14:textId="1642EB03" w:rsidR="00207C5D" w:rsidRPr="007B4298" w:rsidRDefault="002A6702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L’envoi de la convention relue finalisée par le RTF au Cabinet s’effectue </w:t>
            </w:r>
            <w:r w:rsidR="00BB31FE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à J-15 pour les RTF</w:t>
            </w:r>
            <w:r w:rsidR="00131E7B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.</w:t>
            </w:r>
          </w:p>
        </w:tc>
      </w:tr>
      <w:tr w:rsidR="00495AEE" w:rsidRPr="00495AEE" w14:paraId="08DE0165" w14:textId="77777777" w:rsidTr="007B4298">
        <w:tc>
          <w:tcPr>
            <w:tcW w:w="1026" w:type="pc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33705" w14:textId="77777777" w:rsidR="00F24465" w:rsidRPr="007B4298" w:rsidRDefault="00B11E84" w:rsidP="007B4298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Qui peut signer une convention DEFI</w:t>
            </w:r>
            <w:r w:rsidR="0076638F"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 ?</w:t>
            </w:r>
          </w:p>
          <w:p w14:paraId="679290C2" w14:textId="77777777" w:rsidR="00F24465" w:rsidRPr="007B4298" w:rsidRDefault="00F24465" w:rsidP="007B4298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</w:pPr>
          </w:p>
        </w:tc>
        <w:tc>
          <w:tcPr>
            <w:tcW w:w="3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8496D" w14:textId="77777777" w:rsidR="00495AEE" w:rsidRPr="007B4298" w:rsidRDefault="00495AEE" w:rsidP="00944BE7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2AB5CA78" w14:textId="030BBFDD" w:rsidR="00F24465" w:rsidRPr="007B4298" w:rsidRDefault="00131E7B" w:rsidP="00F24465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Principe</w:t>
            </w:r>
            <w:r w:rsidR="00F24465"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 de base : tout partenaire ayant participé activement à </w:t>
            </w:r>
            <w:r w:rsidR="00F24465" w:rsidRPr="007B4298">
              <w:rPr>
                <w:rFonts w:ascii="Verdana" w:eastAsia="Times New Roman" w:hAnsi="Verdana"/>
                <w:b/>
                <w:bCs/>
                <w:color w:val="000000" w:themeColor="text1"/>
                <w:sz w:val="16"/>
                <w:szCs w:val="16"/>
              </w:rPr>
              <w:t xml:space="preserve">la mise en œuvre opérationnelle </w:t>
            </w:r>
            <w:r w:rsidR="00F24465"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du projet DEFI</w:t>
            </w:r>
            <w:r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, a minima l’organisme de formation, la Mission Locale et l’agence </w:t>
            </w:r>
            <w:r w:rsidR="00840DF7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France Travail</w:t>
            </w:r>
            <w:r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.</w:t>
            </w:r>
          </w:p>
          <w:p w14:paraId="0841C6EA" w14:textId="77777777" w:rsidR="00131E7B" w:rsidRPr="007B4298" w:rsidRDefault="00131E7B" w:rsidP="00F24465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</w:p>
          <w:p w14:paraId="1B25186A" w14:textId="16CA50FC" w:rsidR="00E03997" w:rsidRPr="007B4298" w:rsidRDefault="00F24465" w:rsidP="00F24465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Liste non exhau</w:t>
            </w:r>
            <w:r w:rsidR="00131E7B"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s</w:t>
            </w:r>
            <w:r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tive : les entreprises</w:t>
            </w:r>
            <w:r w:rsidR="00100711"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131E7B"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a</w:t>
            </w:r>
            <w:proofErr w:type="gramEnd"/>
            <w:r w:rsidR="00131E7B"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minima e</w:t>
            </w:r>
            <w:r w:rsidR="00100711"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ngagées sur les financements Région</w:t>
            </w:r>
            <w:r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, l’organisme de formation, les membres du SPRO, les OPCO, les collectivités locales, etc.</w:t>
            </w:r>
          </w:p>
          <w:p w14:paraId="79266489" w14:textId="564F55F3" w:rsidR="00BD484B" w:rsidRPr="007B4298" w:rsidRDefault="00BD484B" w:rsidP="00F24465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</w:p>
          <w:p w14:paraId="3CA130BB" w14:textId="717AA4FF" w:rsidR="00333D81" w:rsidRPr="007B4298" w:rsidRDefault="00333D81" w:rsidP="00F24465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En cas de complément de financements type POEI, alternance, l’organisme s’engage à informer la Région Centre</w:t>
            </w:r>
            <w:r w:rsidR="00764CFC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-</w:t>
            </w:r>
            <w:r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Val de Loire des cofinancements mobilisés. </w:t>
            </w:r>
          </w:p>
          <w:p w14:paraId="7011D384" w14:textId="76EC6291" w:rsidR="00131E7B" w:rsidRPr="007B4298" w:rsidRDefault="00131E7B" w:rsidP="00F24465">
            <w:pPr>
              <w:spacing w:after="0" w:line="240" w:lineRule="auto"/>
              <w:contextualSpacing/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14:paraId="184ACE6E" w14:textId="76187201" w:rsidR="00BD484B" w:rsidRPr="007B4298" w:rsidRDefault="00BD484B" w:rsidP="00BD484B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533994" w:rsidRPr="00495AEE" w14:paraId="43500CBC" w14:textId="77777777" w:rsidTr="007B4298">
        <w:trPr>
          <w:trHeight w:val="1648"/>
        </w:trPr>
        <w:tc>
          <w:tcPr>
            <w:tcW w:w="1026" w:type="pc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38C2A" w14:textId="43F562D7" w:rsidR="00533994" w:rsidRPr="007B4298" w:rsidRDefault="00533994" w:rsidP="007B4298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A quel moment doit avoir lieu la signature de la convention</w:t>
            </w:r>
            <w:r w:rsidR="00416C85"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 ?</w:t>
            </w:r>
          </w:p>
        </w:tc>
        <w:tc>
          <w:tcPr>
            <w:tcW w:w="3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1D625" w14:textId="5883564B" w:rsidR="00533994" w:rsidRPr="007B4298" w:rsidRDefault="00533994" w:rsidP="00533994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La signature de la convention peut intervenir à tout moment de la formation, en privilégiant néanmoins le début de l’action et avant</w:t>
            </w:r>
            <w:r w:rsidR="00416C85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son terme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.</w:t>
            </w:r>
          </w:p>
          <w:p w14:paraId="528BC8D4" w14:textId="77777777" w:rsidR="00533994" w:rsidRPr="007B4298" w:rsidRDefault="00533994" w:rsidP="00533994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48C4DC9B" w14:textId="259C7BF4" w:rsidR="00533994" w:rsidRPr="007B4298" w:rsidRDefault="00533994" w:rsidP="00533994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Dans certains cas particuliers, la signature peut intervenir, en accord avec le </w:t>
            </w:r>
            <w:r w:rsidR="00416C85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référent territorial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, en amont du démarrage de l’action</w:t>
            </w:r>
            <w:r w:rsidR="00416C85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pour optimiser la </w:t>
            </w:r>
            <w:r w:rsidR="00764CFC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mobilisation</w:t>
            </w:r>
            <w:r w:rsidR="00416C85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des publics et selon la faisabilité. </w:t>
            </w:r>
          </w:p>
        </w:tc>
      </w:tr>
      <w:tr w:rsidR="00495AEE" w:rsidRPr="00495AEE" w14:paraId="05AD0887" w14:textId="77777777" w:rsidTr="007B4298">
        <w:trPr>
          <w:trHeight w:val="3534"/>
        </w:trPr>
        <w:tc>
          <w:tcPr>
            <w:tcW w:w="1026" w:type="pc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840B6" w14:textId="60491683" w:rsidR="00495AEE" w:rsidRPr="007B4298" w:rsidRDefault="00B11E84" w:rsidP="007B4298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lastRenderedPageBreak/>
              <w:t xml:space="preserve">Quel </w:t>
            </w:r>
            <w:r w:rsidR="00513B3A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 xml:space="preserve">est le </w:t>
            </w: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nombre minimal de stagiaires pour une session DEFI</w:t>
            </w:r>
            <w:r w:rsidR="00944BE7"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 ?</w:t>
            </w:r>
          </w:p>
        </w:tc>
        <w:tc>
          <w:tcPr>
            <w:tcW w:w="3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75AEB" w14:textId="77777777" w:rsidR="00495AEE" w:rsidRPr="007B4298" w:rsidRDefault="00495AEE" w:rsidP="00495AEE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1937BC65" w14:textId="54182EFF" w:rsidR="00B11E84" w:rsidRPr="007B4298" w:rsidRDefault="00B11E84" w:rsidP="00B11E84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Il est attendu 100% de places sur la session DEFI à l'entrée en formation (places financées </w:t>
            </w:r>
            <w:r w:rsidR="009869A9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par la Région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). Néanmoins, compte tenu des cas particuliers, il peut être admis que seulement </w:t>
            </w:r>
            <w:r w:rsidR="00B2287F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7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0% de l'effectif s'</w:t>
            </w:r>
            <w:proofErr w:type="spellStart"/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appaire</w:t>
            </w:r>
            <w:proofErr w:type="spellEnd"/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avec une entreprise. En deçà de cet effectif, la session ne </w:t>
            </w:r>
            <w:r w:rsidR="007C0DD0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sera pas qualifiée D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EFI.</w:t>
            </w:r>
          </w:p>
          <w:p w14:paraId="0A432C10" w14:textId="77777777" w:rsidR="0076638F" w:rsidRPr="007B4298" w:rsidRDefault="0076638F" w:rsidP="0076638F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tbl>
            <w:tblPr>
              <w:tblStyle w:val="Grilledutableau"/>
              <w:tblW w:w="0" w:type="auto"/>
              <w:tblInd w:w="847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126"/>
            </w:tblGrid>
            <w:tr w:rsidR="007B4298" w:rsidRPr="007B4298" w14:paraId="5CF8D934" w14:textId="77777777" w:rsidTr="0084743C">
              <w:tc>
                <w:tcPr>
                  <w:tcW w:w="2268" w:type="dxa"/>
                </w:tcPr>
                <w:p w14:paraId="4DFE0C39" w14:textId="77777777" w:rsidR="0076638F" w:rsidRPr="007B4298" w:rsidRDefault="0076638F" w:rsidP="0076638F">
                  <w:pPr>
                    <w:contextualSpacing/>
                    <w:jc w:val="both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Nombre de stagiaires</w:t>
                  </w:r>
                  <w:r w:rsidR="00E03997"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 xml:space="preserve"> RCVL</w:t>
                  </w: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 xml:space="preserve"> dans une session</w:t>
                  </w:r>
                </w:p>
              </w:tc>
              <w:tc>
                <w:tcPr>
                  <w:tcW w:w="2126" w:type="dxa"/>
                </w:tcPr>
                <w:p w14:paraId="2627B934" w14:textId="77777777" w:rsidR="0076638F" w:rsidRPr="007B4298" w:rsidRDefault="0076638F" w:rsidP="0076638F">
                  <w:pPr>
                    <w:contextualSpacing/>
                    <w:jc w:val="both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Nombre minimal de stagiaires DEFI</w:t>
                  </w:r>
                </w:p>
              </w:tc>
            </w:tr>
            <w:tr w:rsidR="007B4298" w:rsidRPr="007B4298" w14:paraId="35EDCE2E" w14:textId="77777777" w:rsidTr="0084743C">
              <w:tc>
                <w:tcPr>
                  <w:tcW w:w="2268" w:type="dxa"/>
                </w:tcPr>
                <w:p w14:paraId="0AE4E6BD" w14:textId="7F0B8E1A" w:rsidR="00100711" w:rsidRPr="007B4298" w:rsidRDefault="00100711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6</w:t>
                  </w:r>
                </w:p>
              </w:tc>
              <w:tc>
                <w:tcPr>
                  <w:tcW w:w="2126" w:type="dxa"/>
                </w:tcPr>
                <w:p w14:paraId="0A7497BC" w14:textId="79578203" w:rsidR="00100711" w:rsidRPr="007B4298" w:rsidRDefault="00100711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6</w:t>
                  </w:r>
                </w:p>
              </w:tc>
            </w:tr>
            <w:tr w:rsidR="007B4298" w:rsidRPr="007B4298" w14:paraId="303BDCF0" w14:textId="77777777" w:rsidTr="0084743C">
              <w:tc>
                <w:tcPr>
                  <w:tcW w:w="2268" w:type="dxa"/>
                </w:tcPr>
                <w:p w14:paraId="57A7D6F2" w14:textId="03979FF5" w:rsidR="00100711" w:rsidRPr="007B4298" w:rsidRDefault="00100711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7</w:t>
                  </w:r>
                </w:p>
              </w:tc>
              <w:tc>
                <w:tcPr>
                  <w:tcW w:w="2126" w:type="dxa"/>
                </w:tcPr>
                <w:p w14:paraId="5CEDF77A" w14:textId="6AE03964" w:rsidR="00100711" w:rsidRPr="007B4298" w:rsidRDefault="00100711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6</w:t>
                  </w:r>
                </w:p>
              </w:tc>
            </w:tr>
            <w:tr w:rsidR="007B4298" w:rsidRPr="007B4298" w14:paraId="332E62D6" w14:textId="77777777" w:rsidTr="0084743C">
              <w:tc>
                <w:tcPr>
                  <w:tcW w:w="2268" w:type="dxa"/>
                </w:tcPr>
                <w:p w14:paraId="51B18D83" w14:textId="77777777" w:rsidR="0076638F" w:rsidRPr="007B4298" w:rsidRDefault="0076638F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8</w:t>
                  </w:r>
                </w:p>
              </w:tc>
              <w:tc>
                <w:tcPr>
                  <w:tcW w:w="2126" w:type="dxa"/>
                </w:tcPr>
                <w:p w14:paraId="238EAA77" w14:textId="77777777" w:rsidR="0076638F" w:rsidRPr="005D023E" w:rsidRDefault="00E03997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highlight w:val="yellow"/>
                      <w:lang w:eastAsia="zh-TW"/>
                    </w:rPr>
                  </w:pPr>
                  <w:r w:rsidRPr="00B2287F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6</w:t>
                  </w:r>
                </w:p>
              </w:tc>
            </w:tr>
            <w:tr w:rsidR="007B4298" w:rsidRPr="007B4298" w14:paraId="359DFA6D" w14:textId="77777777" w:rsidTr="0084743C">
              <w:tc>
                <w:tcPr>
                  <w:tcW w:w="2268" w:type="dxa"/>
                </w:tcPr>
                <w:p w14:paraId="159269C9" w14:textId="77777777" w:rsidR="0076638F" w:rsidRPr="007B4298" w:rsidRDefault="0076638F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9</w:t>
                  </w:r>
                </w:p>
              </w:tc>
              <w:tc>
                <w:tcPr>
                  <w:tcW w:w="2126" w:type="dxa"/>
                </w:tcPr>
                <w:p w14:paraId="2CF106C8" w14:textId="7633C534" w:rsidR="0076638F" w:rsidRPr="00457F79" w:rsidRDefault="00B2287F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457F79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6</w:t>
                  </w:r>
                </w:p>
              </w:tc>
            </w:tr>
            <w:tr w:rsidR="007B4298" w:rsidRPr="007B4298" w14:paraId="242E15A9" w14:textId="77777777" w:rsidTr="0084743C">
              <w:tc>
                <w:tcPr>
                  <w:tcW w:w="2268" w:type="dxa"/>
                </w:tcPr>
                <w:p w14:paraId="089D044A" w14:textId="77777777" w:rsidR="0076638F" w:rsidRPr="007B4298" w:rsidRDefault="0076638F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10</w:t>
                  </w:r>
                </w:p>
              </w:tc>
              <w:tc>
                <w:tcPr>
                  <w:tcW w:w="2126" w:type="dxa"/>
                </w:tcPr>
                <w:p w14:paraId="0ABA3273" w14:textId="05A98694" w:rsidR="0076638F" w:rsidRPr="00457F79" w:rsidRDefault="00B2287F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457F79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7</w:t>
                  </w:r>
                </w:p>
              </w:tc>
            </w:tr>
            <w:tr w:rsidR="007B4298" w:rsidRPr="007B4298" w14:paraId="4D127823" w14:textId="77777777" w:rsidTr="0084743C">
              <w:tc>
                <w:tcPr>
                  <w:tcW w:w="2268" w:type="dxa"/>
                </w:tcPr>
                <w:p w14:paraId="1701AA7F" w14:textId="77777777" w:rsidR="0076638F" w:rsidRPr="007B4298" w:rsidRDefault="0076638F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11</w:t>
                  </w:r>
                </w:p>
              </w:tc>
              <w:tc>
                <w:tcPr>
                  <w:tcW w:w="2126" w:type="dxa"/>
                </w:tcPr>
                <w:p w14:paraId="35F68328" w14:textId="38F0A688" w:rsidR="0076638F" w:rsidRPr="00457F79" w:rsidRDefault="00B2287F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457F79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8</w:t>
                  </w:r>
                </w:p>
              </w:tc>
            </w:tr>
            <w:tr w:rsidR="007B4298" w:rsidRPr="007B4298" w14:paraId="7FB9482D" w14:textId="77777777" w:rsidTr="0084743C">
              <w:tc>
                <w:tcPr>
                  <w:tcW w:w="2268" w:type="dxa"/>
                </w:tcPr>
                <w:p w14:paraId="5897B20D" w14:textId="77777777" w:rsidR="0076638F" w:rsidRPr="007B4298" w:rsidRDefault="0076638F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12</w:t>
                  </w:r>
                </w:p>
              </w:tc>
              <w:tc>
                <w:tcPr>
                  <w:tcW w:w="2126" w:type="dxa"/>
                </w:tcPr>
                <w:p w14:paraId="4E9686AC" w14:textId="1D377566" w:rsidR="0076638F" w:rsidRPr="00457F79" w:rsidRDefault="00B2287F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457F79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9</w:t>
                  </w:r>
                </w:p>
              </w:tc>
            </w:tr>
            <w:tr w:rsidR="007B4298" w:rsidRPr="007B4298" w14:paraId="7DF3EA98" w14:textId="77777777" w:rsidTr="0084743C">
              <w:tc>
                <w:tcPr>
                  <w:tcW w:w="2268" w:type="dxa"/>
                </w:tcPr>
                <w:p w14:paraId="0212E26F" w14:textId="77777777" w:rsidR="00944BE7" w:rsidRPr="007B4298" w:rsidRDefault="00944BE7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13</w:t>
                  </w:r>
                </w:p>
              </w:tc>
              <w:tc>
                <w:tcPr>
                  <w:tcW w:w="2126" w:type="dxa"/>
                </w:tcPr>
                <w:p w14:paraId="29856802" w14:textId="4B65B323" w:rsidR="00944BE7" w:rsidRPr="00457F79" w:rsidRDefault="00B2287F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457F79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9</w:t>
                  </w:r>
                </w:p>
              </w:tc>
            </w:tr>
            <w:tr w:rsidR="007B4298" w:rsidRPr="007B4298" w14:paraId="5B798E1E" w14:textId="77777777" w:rsidTr="0084743C">
              <w:tc>
                <w:tcPr>
                  <w:tcW w:w="2268" w:type="dxa"/>
                </w:tcPr>
                <w:p w14:paraId="117BC035" w14:textId="77777777" w:rsidR="00944BE7" w:rsidRPr="007B4298" w:rsidRDefault="00944BE7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14</w:t>
                  </w:r>
                </w:p>
              </w:tc>
              <w:tc>
                <w:tcPr>
                  <w:tcW w:w="2126" w:type="dxa"/>
                </w:tcPr>
                <w:p w14:paraId="538975D0" w14:textId="76874DC5" w:rsidR="00944BE7" w:rsidRPr="00457F79" w:rsidRDefault="00944BE7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457F79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1</w:t>
                  </w:r>
                  <w:r w:rsidR="00B2287F" w:rsidRPr="00457F79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0</w:t>
                  </w:r>
                </w:p>
              </w:tc>
            </w:tr>
            <w:tr w:rsidR="007B4298" w:rsidRPr="007B4298" w14:paraId="7F26987E" w14:textId="77777777" w:rsidTr="0084743C">
              <w:tc>
                <w:tcPr>
                  <w:tcW w:w="2268" w:type="dxa"/>
                </w:tcPr>
                <w:p w14:paraId="614E01C4" w14:textId="77777777" w:rsidR="0076638F" w:rsidRPr="007B4298" w:rsidRDefault="0076638F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15</w:t>
                  </w:r>
                </w:p>
              </w:tc>
              <w:tc>
                <w:tcPr>
                  <w:tcW w:w="2126" w:type="dxa"/>
                </w:tcPr>
                <w:p w14:paraId="08A6B97D" w14:textId="302FE029" w:rsidR="0076638F" w:rsidRPr="00457F79" w:rsidRDefault="0076638F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457F79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1</w:t>
                  </w:r>
                  <w:r w:rsidR="00B2287F" w:rsidRPr="00457F79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1</w:t>
                  </w:r>
                </w:p>
              </w:tc>
            </w:tr>
          </w:tbl>
          <w:p w14:paraId="06B520CC" w14:textId="77777777" w:rsidR="0076638F" w:rsidRPr="007B4298" w:rsidRDefault="0076638F" w:rsidP="00B11E84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6DB7F1DF" w14:textId="7AD3EAF2" w:rsidR="0076638F" w:rsidRPr="007B4298" w:rsidRDefault="0076638F" w:rsidP="00B11E84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Pour les sessions à faible effectif de mise en </w:t>
            </w:r>
            <w:r w:rsidR="00131E7B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œuvre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, formatées pour répondre aux particularités des territoires, 100% </w:t>
            </w:r>
            <w:r w:rsidR="007C0DD0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des places PRF 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est attendu</w:t>
            </w:r>
            <w:r w:rsidR="00944BE7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: ex : session de 6 = 6 minimum en effectif RCVL seuil en dessous duquel il n'y aura pas versement de la prime DEFI</w:t>
            </w:r>
            <w:r w:rsidR="00944BE7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.</w:t>
            </w:r>
          </w:p>
          <w:p w14:paraId="44C6E7F4" w14:textId="77777777" w:rsidR="0076638F" w:rsidRPr="007B4298" w:rsidRDefault="0076638F" w:rsidP="00B11E84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1DBD63DE" w14:textId="77777777" w:rsidR="00B11E84" w:rsidRPr="007B4298" w:rsidRDefault="00B11E84" w:rsidP="00495AEE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495AEE" w:rsidRPr="00495AEE" w14:paraId="741AEDBB" w14:textId="77777777" w:rsidTr="007B4298">
        <w:tc>
          <w:tcPr>
            <w:tcW w:w="1026" w:type="pc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CE474" w14:textId="77777777" w:rsidR="00207C5D" w:rsidRPr="007B4298" w:rsidRDefault="00207C5D" w:rsidP="007B4298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Une session DEFI peut-elle être complétée par des stagiaires avec d’autres financements</w:t>
            </w:r>
          </w:p>
        </w:tc>
        <w:tc>
          <w:tcPr>
            <w:tcW w:w="3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525F0" w14:textId="77777777" w:rsidR="00495AEE" w:rsidRPr="007B4298" w:rsidRDefault="00495AEE" w:rsidP="00495AEE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02CD1BF8" w14:textId="203E851E" w:rsidR="00207C5D" w:rsidRPr="007B4298" w:rsidRDefault="00207C5D" w:rsidP="00495AEE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Oui une session peut être </w:t>
            </w:r>
            <w:r w:rsidR="007C0DD0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qualifiée </w:t>
            </w: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DEFI avec des places complémentaires aux financements </w:t>
            </w:r>
            <w:r w:rsidR="009869A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Région</w:t>
            </w: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si </w:t>
            </w:r>
            <w:r w:rsidR="00A64DE8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l’objectif </w:t>
            </w:r>
            <w:r w:rsidR="00490710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final est </w:t>
            </w:r>
            <w:r w:rsidR="00A64DE8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un engagement pour un </w:t>
            </w:r>
            <w:r w:rsidR="00A64DE8" w:rsidRPr="007B429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zh-TW"/>
              </w:rPr>
              <w:t>CDD</w:t>
            </w:r>
            <w:r w:rsidR="007C0DD0" w:rsidRPr="007B429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zh-TW"/>
              </w:rPr>
              <w:t xml:space="preserve"> ou CTT de </w:t>
            </w:r>
            <w:r w:rsidR="00A64DE8" w:rsidRPr="007B429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zh-TW"/>
              </w:rPr>
              <w:t xml:space="preserve">plus de 6 mois </w:t>
            </w:r>
            <w:r w:rsidR="00490710" w:rsidRPr="007B429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zh-TW"/>
              </w:rPr>
              <w:t>ou</w:t>
            </w:r>
            <w:r w:rsidR="00A64DE8" w:rsidRPr="007B429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zh-TW"/>
              </w:rPr>
              <w:t xml:space="preserve"> un CDI</w:t>
            </w:r>
            <w:r w:rsidR="00620DE2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(POEI/POEC/Contrat de professionnalisation/Contrat d’apprentissage)</w:t>
            </w: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. </w:t>
            </w:r>
          </w:p>
          <w:p w14:paraId="11B699EA" w14:textId="77777777" w:rsidR="00620DE2" w:rsidRPr="007B4298" w:rsidRDefault="00620DE2" w:rsidP="00495AEE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253B6EEB" w14:textId="59634FF6" w:rsidR="00207C5D" w:rsidRPr="007B4298" w:rsidRDefault="00207C5D" w:rsidP="00495AEE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Respect de la règle de l'effectif de 6 minimum en financement R</w:t>
            </w:r>
            <w:r w:rsidR="009869A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égion</w:t>
            </w: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et </w:t>
            </w:r>
            <w:r w:rsidR="009869A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d’</w:t>
            </w: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un seuil maximum de 50% de l'effectif total en autre</w:t>
            </w:r>
            <w:r w:rsidR="009869A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(s)</w:t>
            </w: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financement</w:t>
            </w:r>
            <w:r w:rsidR="009869A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(s)</w:t>
            </w:r>
            <w:r w:rsidR="00490710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.</w:t>
            </w:r>
          </w:p>
        </w:tc>
      </w:tr>
      <w:tr w:rsidR="00495AEE" w:rsidRPr="00495AEE" w14:paraId="2D6EB9E0" w14:textId="77777777" w:rsidTr="007B4298">
        <w:trPr>
          <w:trHeight w:val="1736"/>
        </w:trPr>
        <w:tc>
          <w:tcPr>
            <w:tcW w:w="1026" w:type="pc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AB641" w14:textId="6D6A943C" w:rsidR="000D10D3" w:rsidRPr="007B4298" w:rsidRDefault="00593C46" w:rsidP="007B4298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 xml:space="preserve">Un OF peut-il </w:t>
            </w:r>
            <w:r w:rsidR="007C0DD0"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propos</w:t>
            </w: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er un</w:t>
            </w:r>
            <w:r w:rsidR="00996FCF"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 xml:space="preserve"> DEFI </w:t>
            </w: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 xml:space="preserve">s’il </w:t>
            </w:r>
            <w:proofErr w:type="gramStart"/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 xml:space="preserve">est  </w:t>
            </w:r>
            <w:r w:rsidR="00996FCF"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attributaire</w:t>
            </w:r>
            <w:proofErr w:type="gramEnd"/>
            <w:r w:rsidR="00A227A8"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 xml:space="preserve"> d’un lot</w:t>
            </w:r>
            <w:r w:rsidR="00996FCF"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 xml:space="preserve"> mais sans commande sur l’année</w:t>
            </w:r>
            <w:r w:rsidR="007C0DD0"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 ?</w:t>
            </w:r>
          </w:p>
        </w:tc>
        <w:tc>
          <w:tcPr>
            <w:tcW w:w="3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ECDF5" w14:textId="77777777" w:rsidR="007E3531" w:rsidRPr="007B4298" w:rsidRDefault="007E3531" w:rsidP="000D10D3">
            <w:pPr>
              <w:spacing w:before="240" w:after="0" w:line="240" w:lineRule="auto"/>
              <w:contextualSpacing/>
              <w:jc w:val="both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zh-TW"/>
              </w:rPr>
            </w:pPr>
          </w:p>
          <w:p w14:paraId="5EFAAAF0" w14:textId="642B1861" w:rsidR="00C26652" w:rsidRPr="007B4298" w:rsidRDefault="00B115C2" w:rsidP="000D10D3">
            <w:pPr>
              <w:spacing w:before="240" w:after="0" w:line="240" w:lineRule="auto"/>
              <w:contextualSpacing/>
              <w:jc w:val="both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zh-TW"/>
              </w:rPr>
              <w:t xml:space="preserve">Oui, </w:t>
            </w: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lorsque l’organisme est attributaire du lot et sous réserve de :</w:t>
            </w:r>
            <w:r w:rsidRPr="007B429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zh-TW"/>
              </w:rPr>
              <w:t xml:space="preserve"> </w:t>
            </w:r>
          </w:p>
          <w:p w14:paraId="73EE1EC9" w14:textId="111FF5DD" w:rsidR="00B115C2" w:rsidRPr="007B4298" w:rsidRDefault="00B115C2" w:rsidP="000D10D3">
            <w:pPr>
              <w:spacing w:before="240" w:after="0" w:line="240" w:lineRule="auto"/>
              <w:contextualSpacing/>
              <w:jc w:val="both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zh-TW"/>
              </w:rPr>
            </w:pPr>
          </w:p>
          <w:p w14:paraId="59A1A41D" w14:textId="19EAD3AD" w:rsidR="00705736" w:rsidRPr="007B4298" w:rsidRDefault="00705736" w:rsidP="000D10D3">
            <w:pPr>
              <w:spacing w:before="240"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- la prise en compte des éléments avérés de la piste de DEFI : contexte, qualification du besoin, mutualisation du besoin, entreprises associées, volumétrie, échéance de couverture du besoin</w:t>
            </w:r>
            <w:r w:rsidR="00131E7B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.</w:t>
            </w:r>
          </w:p>
          <w:p w14:paraId="6D98CC84" w14:textId="77777777" w:rsidR="00131E7B" w:rsidRPr="007B4298" w:rsidRDefault="00131E7B" w:rsidP="000D10D3">
            <w:pPr>
              <w:spacing w:before="240"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2921C95F" w14:textId="087C86CF" w:rsidR="000D10D3" w:rsidRPr="007B4298" w:rsidRDefault="00FC1193" w:rsidP="000D10D3">
            <w:pPr>
              <w:spacing w:before="240"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La session DEFI doit s’inscrire en cohérence avec les </w:t>
            </w:r>
            <w:r w:rsidR="000D10D3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dates programmées par l</w:t>
            </w:r>
            <w:r w:rsidR="00B115C2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es autres organismes attributaires du lot sur le PRF, le cas échéant</w:t>
            </w:r>
            <w:r w:rsidR="00705736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.</w:t>
            </w:r>
          </w:p>
          <w:p w14:paraId="10371D61" w14:textId="77777777" w:rsidR="007E3531" w:rsidRPr="007B4298" w:rsidRDefault="007E3531" w:rsidP="00705736">
            <w:pPr>
              <w:spacing w:before="240"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073D89" w:rsidRPr="00495AEE" w14:paraId="44899023" w14:textId="77777777" w:rsidTr="007B4298">
        <w:trPr>
          <w:trHeight w:val="1736"/>
        </w:trPr>
        <w:tc>
          <w:tcPr>
            <w:tcW w:w="1026" w:type="pc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DA397" w14:textId="3C5A2653" w:rsidR="00073D89" w:rsidRPr="007B4298" w:rsidRDefault="00E34E9D" w:rsidP="007B4298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La prime sortie positive est-elle attribuée lors d’un DEFI</w:t>
            </w:r>
            <w:r w:rsidR="007C0DD0"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 ?</w:t>
            </w:r>
          </w:p>
        </w:tc>
        <w:tc>
          <w:tcPr>
            <w:tcW w:w="3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47910" w14:textId="77777777" w:rsidR="007C0DD0" w:rsidRPr="007B4298" w:rsidRDefault="007C0DD0" w:rsidP="000D10D3">
            <w:pPr>
              <w:spacing w:before="240"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highlight w:val="yellow"/>
                <w:lang w:eastAsia="zh-TW"/>
              </w:rPr>
            </w:pPr>
          </w:p>
          <w:p w14:paraId="52E73365" w14:textId="77777777" w:rsidR="00073D89" w:rsidRDefault="00E34E9D" w:rsidP="000D10D3">
            <w:pPr>
              <w:spacing w:before="240"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Oui, la prime sortie positive peut être attribuée, sous réserve d’accord de la Région, pour toute sortie « positive » d’un stagiaire pour emploi et dont la situation est conforme aux situations énoncées au point 12 du CCAAC.</w:t>
            </w:r>
          </w:p>
          <w:p w14:paraId="6FFEB44B" w14:textId="77777777" w:rsidR="009869A9" w:rsidRDefault="009869A9" w:rsidP="000D10D3">
            <w:pPr>
              <w:spacing w:before="240" w:after="0" w:line="240" w:lineRule="auto"/>
              <w:contextualSpacing/>
              <w:jc w:val="both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highlight w:val="yellow"/>
                <w:lang w:eastAsia="zh-TW"/>
              </w:rPr>
            </w:pPr>
          </w:p>
          <w:p w14:paraId="50D989D5" w14:textId="08492FED" w:rsidR="009869A9" w:rsidRPr="00B7324A" w:rsidRDefault="009869A9" w:rsidP="000D10D3">
            <w:pPr>
              <w:spacing w:before="240"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highlight w:val="yellow"/>
                <w:lang w:eastAsia="zh-TW"/>
              </w:rPr>
            </w:pPr>
            <w:r w:rsidRPr="00B7324A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Les deux primes peuvent donc se cumuler.</w:t>
            </w:r>
          </w:p>
        </w:tc>
      </w:tr>
      <w:tr w:rsidR="00702DA8" w:rsidRPr="00495AEE" w14:paraId="6409094E" w14:textId="77777777" w:rsidTr="007B4298">
        <w:trPr>
          <w:trHeight w:val="1736"/>
        </w:trPr>
        <w:tc>
          <w:tcPr>
            <w:tcW w:w="1026" w:type="pc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AE009" w14:textId="1A0A85CF" w:rsidR="00702DA8" w:rsidRPr="007B4298" w:rsidRDefault="00E34E9D" w:rsidP="007B4298">
            <w:pPr>
              <w:spacing w:before="240" w:after="0" w:line="240" w:lineRule="auto"/>
              <w:rPr>
                <w:rStyle w:val="Marquedecommentaire"/>
                <w:color w:val="FFFFFF" w:themeColor="background1"/>
              </w:rPr>
            </w:pP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Quand les primes sont-elles versées ?</w:t>
            </w:r>
          </w:p>
        </w:tc>
        <w:tc>
          <w:tcPr>
            <w:tcW w:w="3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4A0BC" w14:textId="360FFD61" w:rsidR="00702DA8" w:rsidRPr="007B4298" w:rsidRDefault="00E34E9D" w:rsidP="00E34E9D">
            <w:pPr>
              <w:pStyle w:val="Paragraphedeliste"/>
              <w:numPr>
                <w:ilvl w:val="0"/>
                <w:numId w:val="7"/>
              </w:numPr>
              <w:spacing w:before="240"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La prime </w:t>
            </w:r>
            <w:r w:rsidR="009869A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« </w:t>
            </w: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sortie positive</w:t>
            </w:r>
            <w:r w:rsidR="009869A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 »</w:t>
            </w: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de 300 € </w:t>
            </w:r>
            <w:r w:rsidR="009869A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(pour les Parcours Métiers)</w:t>
            </w: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: la demande de paiement s’effectue par le </w:t>
            </w:r>
            <w:r w:rsidR="00A65113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titulaire</w:t>
            </w: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du marché sous </w:t>
            </w:r>
            <w:r w:rsidR="009869A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E</w:t>
            </w: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os, lors du paiement de l’acompte ou du solde du bon de commande</w:t>
            </w:r>
          </w:p>
          <w:p w14:paraId="207AC337" w14:textId="77777777" w:rsidR="00E34E9D" w:rsidRPr="007B4298" w:rsidRDefault="00E34E9D" w:rsidP="00E34E9D">
            <w:pPr>
              <w:pStyle w:val="Paragraphedeliste"/>
              <w:spacing w:before="240"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48179037" w14:textId="20A98B51" w:rsidR="00A65113" w:rsidRPr="007B4298" w:rsidRDefault="00E34E9D" w:rsidP="00A65113">
            <w:pPr>
              <w:pStyle w:val="Paragraphedeliste"/>
              <w:numPr>
                <w:ilvl w:val="0"/>
                <w:numId w:val="7"/>
              </w:numPr>
              <w:spacing w:before="240"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La prime DEFI de 5000 € : </w:t>
            </w:r>
            <w:r w:rsidR="00A65113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la demande de paiement s’effectue par le titulaire du marché sous </w:t>
            </w:r>
            <w:r w:rsidR="00AF6B38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EOS</w:t>
            </w:r>
            <w:r w:rsidR="00A65113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, lors </w:t>
            </w:r>
            <w:r w:rsidR="00524CC0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de la demande d’acompte ou </w:t>
            </w:r>
            <w:r w:rsidR="00A65113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du paiement du solde du bon de commande</w:t>
            </w:r>
          </w:p>
          <w:p w14:paraId="3B1411AB" w14:textId="77777777" w:rsidR="00E34E9D" w:rsidRDefault="00E34E9D" w:rsidP="00A65113">
            <w:pPr>
              <w:pStyle w:val="Paragraphedeliste"/>
              <w:spacing w:before="240"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highlight w:val="yellow"/>
                <w:lang w:eastAsia="zh-TW"/>
              </w:rPr>
            </w:pPr>
          </w:p>
          <w:p w14:paraId="3A016EEB" w14:textId="5BB56C67" w:rsidR="00B7324A" w:rsidRPr="00B7324A" w:rsidRDefault="00B7324A" w:rsidP="00B7324A">
            <w:pPr>
              <w:spacing w:before="240"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6"/>
                <w:szCs w:val="16"/>
                <w:highlight w:val="yellow"/>
                <w:lang w:eastAsia="zh-TW"/>
              </w:rPr>
            </w:pPr>
            <w:r w:rsidRPr="00B7324A">
              <w:rPr>
                <w:i/>
                <w:iCs/>
              </w:rPr>
              <w:t>Le taux de sorties positives</w:t>
            </w:r>
            <w:r w:rsidR="00FC1193">
              <w:rPr>
                <w:i/>
                <w:iCs/>
              </w:rPr>
              <w:t xml:space="preserve"> n</w:t>
            </w:r>
            <w:r w:rsidRPr="00B7324A">
              <w:rPr>
                <w:i/>
                <w:iCs/>
              </w:rPr>
              <w:t>e peut être retenu comme le seul critère d'attribution de la prime, néanmoins l'OF est responsable de son obligation de moyen </w:t>
            </w:r>
          </w:p>
        </w:tc>
      </w:tr>
    </w:tbl>
    <w:p w14:paraId="6C6B6DCC" w14:textId="77777777" w:rsidR="00495AEE" w:rsidRDefault="00495AEE" w:rsidP="00495AEE">
      <w:pPr>
        <w:tabs>
          <w:tab w:val="left" w:pos="7336"/>
        </w:tabs>
      </w:pPr>
    </w:p>
    <w:p w14:paraId="318D6EB7" w14:textId="05F7A4DE" w:rsidR="00E67A6A" w:rsidRDefault="00495AEE" w:rsidP="00FC1193">
      <w:pPr>
        <w:tabs>
          <w:tab w:val="left" w:pos="7336"/>
        </w:tabs>
      </w:pPr>
      <w:r>
        <w:tab/>
      </w:r>
    </w:p>
    <w:sectPr w:rsidR="00E67A6A" w:rsidSect="00E67A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4897B" w14:textId="77777777" w:rsidR="006E77AA" w:rsidRDefault="006E77AA" w:rsidP="00524CC0">
      <w:pPr>
        <w:spacing w:after="0" w:line="240" w:lineRule="auto"/>
      </w:pPr>
      <w:r>
        <w:separator/>
      </w:r>
    </w:p>
  </w:endnote>
  <w:endnote w:type="continuationSeparator" w:id="0">
    <w:p w14:paraId="503D0B1F" w14:textId="77777777" w:rsidR="006E77AA" w:rsidRDefault="006E77AA" w:rsidP="00524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9511F" w14:textId="77777777" w:rsidR="00524CC0" w:rsidRDefault="00524C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BAAC" w14:textId="77777777" w:rsidR="00524CC0" w:rsidRDefault="00524CC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0665" w14:textId="77777777" w:rsidR="00524CC0" w:rsidRDefault="00524C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E034E" w14:textId="77777777" w:rsidR="006E77AA" w:rsidRDefault="006E77AA" w:rsidP="00524CC0">
      <w:pPr>
        <w:spacing w:after="0" w:line="240" w:lineRule="auto"/>
      </w:pPr>
      <w:r>
        <w:separator/>
      </w:r>
    </w:p>
  </w:footnote>
  <w:footnote w:type="continuationSeparator" w:id="0">
    <w:p w14:paraId="6D64B5E2" w14:textId="77777777" w:rsidR="006E77AA" w:rsidRDefault="006E77AA" w:rsidP="00524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ECA8" w14:textId="77777777" w:rsidR="00524CC0" w:rsidRDefault="00524CC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71765" w14:textId="112F3C02" w:rsidR="00524CC0" w:rsidRDefault="00524CC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5E6E" w14:textId="77777777" w:rsidR="00524CC0" w:rsidRDefault="00524C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16FE"/>
    <w:multiLevelType w:val="hybridMultilevel"/>
    <w:tmpl w:val="86446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660BA"/>
    <w:multiLevelType w:val="hybridMultilevel"/>
    <w:tmpl w:val="15EA1800"/>
    <w:lvl w:ilvl="0" w:tplc="5E3ECB6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18B"/>
    <w:multiLevelType w:val="hybridMultilevel"/>
    <w:tmpl w:val="B9208276"/>
    <w:lvl w:ilvl="0" w:tplc="040C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" w15:restartNumberingAfterBreak="0">
    <w:nsid w:val="2AA534D0"/>
    <w:multiLevelType w:val="hybridMultilevel"/>
    <w:tmpl w:val="ED84A172"/>
    <w:lvl w:ilvl="0" w:tplc="26E0D22E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110A0"/>
    <w:multiLevelType w:val="hybridMultilevel"/>
    <w:tmpl w:val="BB02CF5A"/>
    <w:lvl w:ilvl="0" w:tplc="0C58E94C">
      <w:start w:val="9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47D4A"/>
    <w:multiLevelType w:val="hybridMultilevel"/>
    <w:tmpl w:val="7DA4966A"/>
    <w:lvl w:ilvl="0" w:tplc="05C82A64">
      <w:start w:val="4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6" w15:restartNumberingAfterBreak="0">
    <w:nsid w:val="749B292D"/>
    <w:multiLevelType w:val="hybridMultilevel"/>
    <w:tmpl w:val="FABEF458"/>
    <w:lvl w:ilvl="0" w:tplc="86BEAED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898643">
    <w:abstractNumId w:val="5"/>
  </w:num>
  <w:num w:numId="2" w16cid:durableId="222955503">
    <w:abstractNumId w:val="2"/>
  </w:num>
  <w:num w:numId="3" w16cid:durableId="1067997053">
    <w:abstractNumId w:val="0"/>
  </w:num>
  <w:num w:numId="4" w16cid:durableId="574704359">
    <w:abstractNumId w:val="3"/>
  </w:num>
  <w:num w:numId="5" w16cid:durableId="744424448">
    <w:abstractNumId w:val="4"/>
  </w:num>
  <w:num w:numId="6" w16cid:durableId="17396831">
    <w:abstractNumId w:val="6"/>
  </w:num>
  <w:num w:numId="7" w16cid:durableId="321544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6A"/>
    <w:rsid w:val="00030291"/>
    <w:rsid w:val="00041BEB"/>
    <w:rsid w:val="00073D89"/>
    <w:rsid w:val="000D10D3"/>
    <w:rsid w:val="000F0A10"/>
    <w:rsid w:val="00100711"/>
    <w:rsid w:val="00131E7B"/>
    <w:rsid w:val="00164DD9"/>
    <w:rsid w:val="001737BF"/>
    <w:rsid w:val="001D6555"/>
    <w:rsid w:val="00207C5D"/>
    <w:rsid w:val="002A6702"/>
    <w:rsid w:val="00333D81"/>
    <w:rsid w:val="003535EF"/>
    <w:rsid w:val="003C196E"/>
    <w:rsid w:val="00416C85"/>
    <w:rsid w:val="00457F79"/>
    <w:rsid w:val="00490710"/>
    <w:rsid w:val="00495AEE"/>
    <w:rsid w:val="00513B3A"/>
    <w:rsid w:val="00524CC0"/>
    <w:rsid w:val="00533994"/>
    <w:rsid w:val="005708B9"/>
    <w:rsid w:val="005764A7"/>
    <w:rsid w:val="00593C46"/>
    <w:rsid w:val="005D023E"/>
    <w:rsid w:val="005F6258"/>
    <w:rsid w:val="00602938"/>
    <w:rsid w:val="00620DE2"/>
    <w:rsid w:val="00672F74"/>
    <w:rsid w:val="006E77AA"/>
    <w:rsid w:val="00702DA8"/>
    <w:rsid w:val="00705736"/>
    <w:rsid w:val="0071581B"/>
    <w:rsid w:val="00764CFC"/>
    <w:rsid w:val="0076638F"/>
    <w:rsid w:val="007B4298"/>
    <w:rsid w:val="007C06F8"/>
    <w:rsid w:val="007C0DD0"/>
    <w:rsid w:val="007C6599"/>
    <w:rsid w:val="007D0D52"/>
    <w:rsid w:val="007E3531"/>
    <w:rsid w:val="00840DF7"/>
    <w:rsid w:val="008E5F1F"/>
    <w:rsid w:val="00944BE7"/>
    <w:rsid w:val="00951A5C"/>
    <w:rsid w:val="009604C9"/>
    <w:rsid w:val="009836F9"/>
    <w:rsid w:val="009869A9"/>
    <w:rsid w:val="00996FCF"/>
    <w:rsid w:val="00A1547B"/>
    <w:rsid w:val="00A227A8"/>
    <w:rsid w:val="00A3094B"/>
    <w:rsid w:val="00A64DE8"/>
    <w:rsid w:val="00A65113"/>
    <w:rsid w:val="00AA0AA6"/>
    <w:rsid w:val="00AF6B38"/>
    <w:rsid w:val="00B05829"/>
    <w:rsid w:val="00B10FB6"/>
    <w:rsid w:val="00B115C2"/>
    <w:rsid w:val="00B11E84"/>
    <w:rsid w:val="00B2287F"/>
    <w:rsid w:val="00B65E06"/>
    <w:rsid w:val="00B7324A"/>
    <w:rsid w:val="00BB31FE"/>
    <w:rsid w:val="00BD484B"/>
    <w:rsid w:val="00C26652"/>
    <w:rsid w:val="00D3320A"/>
    <w:rsid w:val="00D92E4D"/>
    <w:rsid w:val="00DB45CC"/>
    <w:rsid w:val="00DF31A3"/>
    <w:rsid w:val="00E03997"/>
    <w:rsid w:val="00E108D9"/>
    <w:rsid w:val="00E34E9D"/>
    <w:rsid w:val="00E67A6A"/>
    <w:rsid w:val="00F24465"/>
    <w:rsid w:val="00FC1193"/>
    <w:rsid w:val="00FC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0FAA"/>
  <w15:chartTrackingRefBased/>
  <w15:docId w15:val="{0E8495E4-84C1-47B7-92F4-1106AB07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A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30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94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0582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D65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655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655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65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6555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3399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399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24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4CC0"/>
  </w:style>
  <w:style w:type="paragraph" w:styleId="Pieddepage">
    <w:name w:val="footer"/>
    <w:basedOn w:val="Normal"/>
    <w:link w:val="PieddepageCar"/>
    <w:uiPriority w:val="99"/>
    <w:unhideWhenUsed/>
    <w:rsid w:val="00524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4CC0"/>
  </w:style>
  <w:style w:type="paragraph" w:styleId="Rvision">
    <w:name w:val="Revision"/>
    <w:hidden/>
    <w:uiPriority w:val="99"/>
    <w:semiHidden/>
    <w:rsid w:val="00513B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peration-DEFI@centrevaldeloire.fr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6213b9-05fd-498d-81cf-5c77a35c5f82" xsi:nil="true"/>
    <lcf76f155ced4ddcb4097134ff3c332f xmlns="2c72dd84-1a7b-4e07-98a3-845bab2c3df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08225971D5042A6E8266ADC23D3C0" ma:contentTypeVersion="17" ma:contentTypeDescription="Crée un document." ma:contentTypeScope="" ma:versionID="9b748a3b02125e964fe924137bf1cfd6">
  <xsd:schema xmlns:xsd="http://www.w3.org/2001/XMLSchema" xmlns:xs="http://www.w3.org/2001/XMLSchema" xmlns:p="http://schemas.microsoft.com/office/2006/metadata/properties" xmlns:ns2="2c72dd84-1a7b-4e07-98a3-845bab2c3dfe" xmlns:ns3="c56213b9-05fd-498d-81cf-5c77a35c5f82" targetNamespace="http://schemas.microsoft.com/office/2006/metadata/properties" ma:root="true" ma:fieldsID="907e0ac43c12548b3024e6ee38a99b60" ns2:_="" ns3:_="">
    <xsd:import namespace="2c72dd84-1a7b-4e07-98a3-845bab2c3dfe"/>
    <xsd:import namespace="c56213b9-05fd-498d-81cf-5c77a35c5f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2dd84-1a7b-4e07-98a3-845bab2c3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658b35cd-c21e-45d7-b2a2-8049bcbfbb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213b9-05fd-498d-81cf-5c77a35c5f8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7bfdb4-7658-43c3-846d-f3fad8dd2c47}" ma:internalName="TaxCatchAll" ma:showField="CatchAllData" ma:web="c56213b9-05fd-498d-81cf-5c77a35c5f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A9517-C083-4D82-A9FB-95533A8C4566}">
  <ds:schemaRefs>
    <ds:schemaRef ds:uri="http://schemas.microsoft.com/office/2006/metadata/properties"/>
    <ds:schemaRef ds:uri="http://schemas.microsoft.com/office/infopath/2007/PartnerControls"/>
    <ds:schemaRef ds:uri="c56213b9-05fd-498d-81cf-5c77a35c5f82"/>
    <ds:schemaRef ds:uri="2c72dd84-1a7b-4e07-98a3-845bab2c3dfe"/>
  </ds:schemaRefs>
</ds:datastoreItem>
</file>

<file path=customXml/itemProps2.xml><?xml version="1.0" encoding="utf-8"?>
<ds:datastoreItem xmlns:ds="http://schemas.openxmlformats.org/officeDocument/2006/customXml" ds:itemID="{A611C636-1E0E-422E-9046-DCCC4EE1D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F7DE7-6D47-47F5-920D-2F2B7FFB9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2dd84-1a7b-4e07-98a3-845bab2c3dfe"/>
    <ds:schemaRef ds:uri="c56213b9-05fd-498d-81cf-5c77a35c5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914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CRCVDL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FAFOURNOUX Graziella</dc:creator>
  <cp:keywords/>
  <dc:description/>
  <cp:lastModifiedBy>AUBRY Sarah</cp:lastModifiedBy>
  <cp:revision>4</cp:revision>
  <cp:lastPrinted>2022-12-20T08:47:00Z</cp:lastPrinted>
  <dcterms:created xsi:type="dcterms:W3CDTF">2024-01-12T09:16:00Z</dcterms:created>
  <dcterms:modified xsi:type="dcterms:W3CDTF">2024-01-12T09:17:00Z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0x0101001C808225971D5042A6E8266ADC23D3C0</vt:lpwstr>
  </property>
</Properties>
</file>