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32D2" w14:textId="6F6EF7A8" w:rsidR="009F3713" w:rsidRDefault="009F3713" w:rsidP="00A0518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F6D3C29" w14:textId="1BB531C6" w:rsidR="001063B8" w:rsidRPr="00F607FC" w:rsidRDefault="007B2D20" w:rsidP="001063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31849B" w:themeColor="accent5" w:themeShade="BF"/>
          <w:sz w:val="20"/>
          <w:szCs w:val="20"/>
          <w:u w:val="single"/>
        </w:rPr>
      </w:pPr>
      <w:r>
        <w:rPr>
          <w:rFonts w:ascii="Verdana" w:hAnsi="Verdana" w:cs="Verdana"/>
          <w:b/>
          <w:bCs/>
          <w:color w:val="31849B" w:themeColor="accent5" w:themeShade="BF"/>
          <w:sz w:val="20"/>
          <w:szCs w:val="20"/>
          <w:u w:val="single"/>
        </w:rPr>
        <w:t xml:space="preserve">1/ </w:t>
      </w:r>
      <w:r w:rsidR="001063B8" w:rsidRPr="00F607FC">
        <w:rPr>
          <w:rFonts w:ascii="Verdana" w:hAnsi="Verdana" w:cs="Verdana"/>
          <w:b/>
          <w:bCs/>
          <w:color w:val="31849B" w:themeColor="accent5" w:themeShade="BF"/>
          <w:sz w:val="20"/>
          <w:szCs w:val="20"/>
          <w:u w:val="single"/>
        </w:rPr>
        <w:t>L</w:t>
      </w:r>
      <w:r w:rsidR="00CB24DD">
        <w:rPr>
          <w:rFonts w:ascii="Verdana" w:hAnsi="Verdana" w:cs="Verdana"/>
          <w:b/>
          <w:bCs/>
          <w:color w:val="31849B" w:themeColor="accent5" w:themeShade="BF"/>
          <w:sz w:val="20"/>
          <w:szCs w:val="20"/>
          <w:u w:val="single"/>
        </w:rPr>
        <w:t>A PHASE DE</w:t>
      </w:r>
      <w:r w:rsidR="001063B8">
        <w:rPr>
          <w:rFonts w:ascii="Verdana" w:hAnsi="Verdana" w:cs="Verdana"/>
          <w:b/>
          <w:bCs/>
          <w:color w:val="31849B" w:themeColor="accent5" w:themeShade="BF"/>
          <w:sz w:val="20"/>
          <w:szCs w:val="20"/>
          <w:u w:val="single"/>
        </w:rPr>
        <w:t xml:space="preserve"> RECRUTEMENT</w:t>
      </w:r>
    </w:p>
    <w:p w14:paraId="3E43501C" w14:textId="280315F7" w:rsidR="009F3713" w:rsidRDefault="009F3713" w:rsidP="00A0518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916985" w14:textId="710D3520" w:rsidR="009F3713" w:rsidRDefault="009F3713" w:rsidP="00145F9B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BE0099">
        <w:rPr>
          <w:rFonts w:ascii="Verdana" w:hAnsi="Verdana"/>
          <w:sz w:val="18"/>
          <w:szCs w:val="18"/>
        </w:rPr>
        <w:t>Les organismes de formation sont responsables de leur choix de recrutement</w:t>
      </w:r>
      <w:r w:rsidR="002E3E7C" w:rsidRPr="00BE0099">
        <w:rPr>
          <w:rFonts w:ascii="Verdana" w:hAnsi="Verdana"/>
          <w:sz w:val="18"/>
          <w:szCs w:val="18"/>
        </w:rPr>
        <w:t>.</w:t>
      </w:r>
      <w:r w:rsidR="00BE0099" w:rsidRPr="00BE0099">
        <w:rPr>
          <w:rFonts w:ascii="Verdana" w:hAnsi="Verdana"/>
          <w:sz w:val="18"/>
          <w:szCs w:val="18"/>
        </w:rPr>
        <w:t xml:space="preserve"> </w:t>
      </w:r>
      <w:r w:rsidR="002E3E7C" w:rsidRPr="00BE0099">
        <w:rPr>
          <w:rFonts w:ascii="Verdana" w:hAnsi="Verdana"/>
          <w:sz w:val="18"/>
          <w:szCs w:val="18"/>
        </w:rPr>
        <w:t xml:space="preserve">Lorsqu’il s’agit d’opérations DEFI, le </w:t>
      </w:r>
      <w:r w:rsidR="00AF5523" w:rsidRPr="00BE0099">
        <w:rPr>
          <w:rFonts w:ascii="Verdana" w:hAnsi="Verdana"/>
          <w:sz w:val="18"/>
          <w:szCs w:val="18"/>
        </w:rPr>
        <w:t>recrutement</w:t>
      </w:r>
      <w:r w:rsidR="002E3E7C" w:rsidRPr="00BE0099">
        <w:rPr>
          <w:rFonts w:ascii="Verdana" w:hAnsi="Verdana"/>
          <w:sz w:val="18"/>
          <w:szCs w:val="18"/>
        </w:rPr>
        <w:t xml:space="preserve"> doit être </w:t>
      </w:r>
      <w:proofErr w:type="spellStart"/>
      <w:r w:rsidR="002E3E7C" w:rsidRPr="00BE0099">
        <w:rPr>
          <w:rFonts w:ascii="Verdana" w:hAnsi="Verdana"/>
          <w:sz w:val="18"/>
          <w:szCs w:val="18"/>
        </w:rPr>
        <w:t>c</w:t>
      </w:r>
      <w:r w:rsidR="00AF5523" w:rsidRPr="00BE0099">
        <w:rPr>
          <w:rFonts w:ascii="Verdana" w:hAnsi="Verdana"/>
          <w:sz w:val="18"/>
          <w:szCs w:val="18"/>
        </w:rPr>
        <w:t>o</w:t>
      </w:r>
      <w:proofErr w:type="spellEnd"/>
      <w:r w:rsidR="00AF5523" w:rsidRPr="00BE0099">
        <w:rPr>
          <w:rFonts w:ascii="Verdana" w:hAnsi="Verdana"/>
          <w:sz w:val="18"/>
          <w:szCs w:val="18"/>
        </w:rPr>
        <w:t>-validé</w:t>
      </w:r>
      <w:r w:rsidR="002E3E7C" w:rsidRPr="00BE0099">
        <w:rPr>
          <w:rFonts w:ascii="Verdana" w:hAnsi="Verdana"/>
          <w:sz w:val="18"/>
          <w:szCs w:val="18"/>
        </w:rPr>
        <w:t xml:space="preserve"> avec les entreprises parties prenantes</w:t>
      </w:r>
      <w:r w:rsidR="000350EA" w:rsidRPr="00BE0099">
        <w:rPr>
          <w:rFonts w:ascii="Verdana" w:hAnsi="Verdana"/>
          <w:sz w:val="18"/>
          <w:szCs w:val="18"/>
        </w:rPr>
        <w:t>.</w:t>
      </w:r>
    </w:p>
    <w:p w14:paraId="21397111" w14:textId="7C16E2EA" w:rsidR="00BE0099" w:rsidRPr="00BE0099" w:rsidRDefault="00BE0099" w:rsidP="00BE0099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6B791510" w14:textId="24D1BDCB" w:rsidR="000350EA" w:rsidRPr="00C9376B" w:rsidRDefault="000350EA" w:rsidP="000350E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9376B">
        <w:rPr>
          <w:rFonts w:ascii="Verdana" w:hAnsi="Verdana"/>
          <w:sz w:val="18"/>
          <w:szCs w:val="18"/>
        </w:rPr>
        <w:t>Les organismes de formation sont garants de la sélection des candidats.</w:t>
      </w:r>
    </w:p>
    <w:p w14:paraId="5F656275" w14:textId="7519CA18" w:rsidR="00CA0439" w:rsidRPr="00774171" w:rsidRDefault="00866AF3" w:rsidP="00CA0439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774171">
        <w:rPr>
          <w:rFonts w:ascii="Verdana" w:hAnsi="Verdana"/>
          <w:sz w:val="18"/>
          <w:szCs w:val="18"/>
        </w:rPr>
        <w:t xml:space="preserve">En privilégiant le recrutement de </w:t>
      </w:r>
      <w:r w:rsidRPr="00774171">
        <w:rPr>
          <w:rFonts w:ascii="Verdana" w:hAnsi="Verdana"/>
          <w:b/>
          <w:bCs/>
          <w:sz w:val="18"/>
          <w:szCs w:val="18"/>
        </w:rPr>
        <w:t>publics diversifiés</w:t>
      </w:r>
      <w:r w:rsidRPr="00774171">
        <w:rPr>
          <w:rFonts w:ascii="Verdana" w:hAnsi="Verdana"/>
          <w:sz w:val="18"/>
          <w:szCs w:val="18"/>
        </w:rPr>
        <w:t xml:space="preserve"> et en favorisant l’égalité des chances</w:t>
      </w:r>
      <w:r w:rsidR="00CA0439" w:rsidRPr="00774171">
        <w:rPr>
          <w:rFonts w:ascii="Verdana" w:hAnsi="Verdana"/>
          <w:sz w:val="18"/>
          <w:szCs w:val="18"/>
        </w:rPr>
        <w:t>.</w:t>
      </w:r>
    </w:p>
    <w:p w14:paraId="5F0B3779" w14:textId="013958B4" w:rsidR="002E3E7C" w:rsidRPr="000350EA" w:rsidRDefault="00CA0439" w:rsidP="005C1CB8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  <w:r w:rsidRPr="000350EA">
        <w:rPr>
          <w:rFonts w:ascii="Verdana" w:hAnsi="Verdana"/>
          <w:sz w:val="18"/>
          <w:szCs w:val="18"/>
        </w:rPr>
        <w:t>Le PRF 202</w:t>
      </w:r>
      <w:r w:rsidR="002E3E7C" w:rsidRPr="000350EA">
        <w:rPr>
          <w:rFonts w:ascii="Verdana" w:hAnsi="Verdana"/>
          <w:sz w:val="18"/>
          <w:szCs w:val="18"/>
        </w:rPr>
        <w:t>5</w:t>
      </w:r>
      <w:r w:rsidR="00BF2317">
        <w:rPr>
          <w:rFonts w:ascii="Verdana" w:hAnsi="Verdana"/>
          <w:sz w:val="18"/>
          <w:szCs w:val="18"/>
        </w:rPr>
        <w:t>/2028</w:t>
      </w:r>
      <w:r w:rsidRPr="000350EA">
        <w:rPr>
          <w:rFonts w:ascii="Verdana" w:hAnsi="Verdana"/>
          <w:sz w:val="18"/>
          <w:szCs w:val="18"/>
        </w:rPr>
        <w:t xml:space="preserve"> </w:t>
      </w:r>
      <w:r w:rsidR="00F61D94" w:rsidRPr="000350EA">
        <w:rPr>
          <w:rFonts w:ascii="Verdana" w:hAnsi="Verdana"/>
          <w:sz w:val="18"/>
          <w:szCs w:val="18"/>
        </w:rPr>
        <w:t>concourt</w:t>
      </w:r>
      <w:r w:rsidRPr="000350EA">
        <w:rPr>
          <w:rFonts w:ascii="Verdana" w:hAnsi="Verdana"/>
          <w:sz w:val="18"/>
          <w:szCs w:val="18"/>
        </w:rPr>
        <w:t xml:space="preserve"> à l’atteinte des objectifs que la Région Centre-Val de Loire partage avec l’Etat dans le cadre du PACTE 20</w:t>
      </w:r>
      <w:r w:rsidR="002E3E7C" w:rsidRPr="000350EA">
        <w:rPr>
          <w:rFonts w:ascii="Verdana" w:hAnsi="Verdana"/>
          <w:sz w:val="18"/>
          <w:szCs w:val="18"/>
        </w:rPr>
        <w:t>24</w:t>
      </w:r>
      <w:r w:rsidRPr="000350EA">
        <w:rPr>
          <w:rFonts w:ascii="Verdana" w:hAnsi="Verdana"/>
          <w:sz w:val="18"/>
          <w:szCs w:val="18"/>
        </w:rPr>
        <w:t>-202</w:t>
      </w:r>
      <w:r w:rsidR="002E3E7C" w:rsidRPr="000350EA">
        <w:rPr>
          <w:rFonts w:ascii="Verdana" w:hAnsi="Verdana"/>
          <w:sz w:val="18"/>
          <w:szCs w:val="18"/>
        </w:rPr>
        <w:t>7</w:t>
      </w:r>
      <w:r w:rsidRPr="000350EA">
        <w:rPr>
          <w:rFonts w:ascii="Verdana" w:hAnsi="Verdana"/>
          <w:sz w:val="18"/>
          <w:szCs w:val="18"/>
        </w:rPr>
        <w:t xml:space="preserve"> et du Plan de relance</w:t>
      </w:r>
      <w:r w:rsidR="005C1CB8" w:rsidRPr="000350EA">
        <w:rPr>
          <w:rFonts w:ascii="Verdana" w:hAnsi="Verdana"/>
          <w:sz w:val="18"/>
          <w:szCs w:val="18"/>
        </w:rPr>
        <w:t> :</w:t>
      </w:r>
      <w:r w:rsidRPr="000350EA">
        <w:rPr>
          <w:rFonts w:ascii="Verdana" w:hAnsi="Verdana"/>
          <w:sz w:val="18"/>
          <w:szCs w:val="18"/>
        </w:rPr>
        <w:t xml:space="preserve"> </w:t>
      </w:r>
    </w:p>
    <w:p w14:paraId="5B67846B" w14:textId="703A9B59" w:rsidR="00CA0439" w:rsidRPr="000350EA" w:rsidRDefault="002E3E7C" w:rsidP="002E3E7C">
      <w:pPr>
        <w:pStyle w:val="Paragraphedeliste"/>
        <w:spacing w:after="0" w:line="240" w:lineRule="auto"/>
        <w:ind w:left="1080"/>
        <w:jc w:val="both"/>
        <w:rPr>
          <w:rFonts w:ascii="Verdana" w:hAnsi="Verdana"/>
          <w:b/>
          <w:bCs/>
          <w:sz w:val="18"/>
          <w:szCs w:val="18"/>
        </w:rPr>
      </w:pPr>
      <w:r w:rsidRPr="000350EA">
        <w:rPr>
          <w:rFonts w:ascii="Verdana" w:hAnsi="Verdana"/>
          <w:sz w:val="18"/>
          <w:szCs w:val="18"/>
        </w:rPr>
        <w:t>- Sans condition de diplôme, les personnes en recherche d’emploi (allocataires du RSA, demandeurs d’emploi, reconnus travailleurs handicapés, séniors de 55 ans et plus</w:t>
      </w:r>
      <w:r w:rsidR="003A3800" w:rsidRPr="000350EA">
        <w:rPr>
          <w:rFonts w:ascii="Verdana" w:hAnsi="Verdana"/>
          <w:sz w:val="18"/>
          <w:szCs w:val="18"/>
        </w:rPr>
        <w:t>)</w:t>
      </w:r>
      <w:r w:rsidRPr="000350EA">
        <w:rPr>
          <w:rFonts w:ascii="Verdana" w:hAnsi="Verdana"/>
          <w:b/>
          <w:bCs/>
          <w:sz w:val="18"/>
          <w:szCs w:val="18"/>
        </w:rPr>
        <w:t>.</w:t>
      </w:r>
    </w:p>
    <w:p w14:paraId="7D83BADD" w14:textId="2554C87D" w:rsidR="002E3E7C" w:rsidRPr="000350EA" w:rsidRDefault="002E3E7C" w:rsidP="002E3E7C">
      <w:pPr>
        <w:pStyle w:val="Paragraphedeliste"/>
        <w:spacing w:after="0" w:line="240" w:lineRule="auto"/>
        <w:ind w:left="1080"/>
        <w:jc w:val="both"/>
        <w:rPr>
          <w:rFonts w:ascii="Verdana" w:hAnsi="Verdana"/>
          <w:b/>
          <w:bCs/>
          <w:sz w:val="18"/>
          <w:szCs w:val="18"/>
        </w:rPr>
      </w:pPr>
      <w:r w:rsidRPr="000350EA">
        <w:rPr>
          <w:rFonts w:ascii="Verdana" w:hAnsi="Verdana"/>
          <w:b/>
          <w:bCs/>
          <w:sz w:val="18"/>
          <w:szCs w:val="18"/>
        </w:rPr>
        <w:t>- Les personnes en recherche d’emploi de moins de 26 ans jusqu’à un niveau BAC +2non obtenu ;</w:t>
      </w:r>
    </w:p>
    <w:p w14:paraId="17609815" w14:textId="0F1FE95C" w:rsidR="002E3E7C" w:rsidRPr="000350EA" w:rsidRDefault="00295282" w:rsidP="002E3E7C">
      <w:pPr>
        <w:pStyle w:val="Paragraphedeliste"/>
        <w:spacing w:after="0" w:line="240" w:lineRule="auto"/>
        <w:ind w:left="1080"/>
        <w:jc w:val="both"/>
        <w:rPr>
          <w:rFonts w:ascii="Verdana" w:hAnsi="Verdana"/>
          <w:b/>
          <w:bCs/>
          <w:sz w:val="18"/>
          <w:szCs w:val="18"/>
        </w:rPr>
      </w:pPr>
      <w:r w:rsidRPr="002F38F0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91440" distB="91440" distL="137160" distR="137160" simplePos="0" relativeHeight="251661312" behindDoc="0" locked="0" layoutInCell="0" allowOverlap="1" wp14:anchorId="685FD051" wp14:editId="20A33B2B">
                <wp:simplePos x="0" y="0"/>
                <wp:positionH relativeFrom="margin">
                  <wp:posOffset>3041015</wp:posOffset>
                </wp:positionH>
                <wp:positionV relativeFrom="margin">
                  <wp:posOffset>2148205</wp:posOffset>
                </wp:positionV>
                <wp:extent cx="804545" cy="6570345"/>
                <wp:effectExtent l="0" t="6350" r="27305" b="27305"/>
                <wp:wrapSquare wrapText="bothSides"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04545" cy="657034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F4F422" w14:textId="77777777" w:rsidR="005D3DA5" w:rsidRPr="003A3800" w:rsidRDefault="003B6B62" w:rsidP="005D3DA5">
                            <w:pPr>
                              <w:spacing w:after="0"/>
                              <w:jc w:val="center"/>
                              <w:rPr>
                                <w:rFonts w:eastAsiaTheme="majorEastAsia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sz w:val="20"/>
                                <w:szCs w:val="20"/>
                              </w:rPr>
                              <w:t>Afin de favoriser un accès élargi au PRF, l</w:t>
                            </w:r>
                            <w:r w:rsidR="002F38F0">
                              <w:rPr>
                                <w:rFonts w:eastAsiaTheme="majorEastAsia" w:cstheme="minorHAnsi"/>
                                <w:sz w:val="20"/>
                                <w:szCs w:val="20"/>
                              </w:rPr>
                              <w:t>a phase</w:t>
                            </w:r>
                            <w:r w:rsidR="002F38F0" w:rsidRPr="002F38F0">
                              <w:rPr>
                                <w:rFonts w:eastAsiaTheme="majorEastAsia" w:cstheme="minorHAnsi"/>
                                <w:sz w:val="20"/>
                                <w:szCs w:val="20"/>
                              </w:rPr>
                              <w:t xml:space="preserve"> de recrutement</w:t>
                            </w:r>
                            <w:r w:rsidR="002F38F0">
                              <w:rPr>
                                <w:rFonts w:eastAsiaTheme="majorEastAsia" w:cstheme="minorHAnsi"/>
                                <w:sz w:val="20"/>
                                <w:szCs w:val="20"/>
                              </w:rPr>
                              <w:t xml:space="preserve"> (modalités/tests/outils) doit être adaptée </w:t>
                            </w:r>
                            <w:r>
                              <w:rPr>
                                <w:rFonts w:eastAsiaTheme="majorEastAsia" w:cstheme="minorHAnsi"/>
                                <w:sz w:val="20"/>
                                <w:szCs w:val="20"/>
                              </w:rPr>
                              <w:t xml:space="preserve">à la formation et permettre de capter les publics dans leur diversité, notamment </w:t>
                            </w:r>
                            <w:r w:rsidRPr="003A3800">
                              <w:rPr>
                                <w:rFonts w:eastAsiaTheme="majorEastAsia" w:cstheme="minorHAnsi"/>
                                <w:sz w:val="20"/>
                                <w:szCs w:val="20"/>
                              </w:rPr>
                              <w:t xml:space="preserve">les plus </w:t>
                            </w:r>
                            <w:r w:rsidR="00662281" w:rsidRPr="003A3800">
                              <w:rPr>
                                <w:rFonts w:eastAsiaTheme="majorEastAsia" w:cstheme="minorHAnsi"/>
                                <w:sz w:val="20"/>
                                <w:szCs w:val="20"/>
                              </w:rPr>
                              <w:t xml:space="preserve">publics fortement </w:t>
                            </w:r>
                            <w:r w:rsidRPr="003A3800">
                              <w:rPr>
                                <w:rFonts w:eastAsiaTheme="majorEastAsia" w:cstheme="minorHAnsi"/>
                                <w:sz w:val="20"/>
                                <w:szCs w:val="20"/>
                              </w:rPr>
                              <w:t>fragilisés</w:t>
                            </w:r>
                          </w:p>
                          <w:p w14:paraId="23FAE153" w14:textId="26C3432E" w:rsidR="002F38F0" w:rsidRPr="002F38F0" w:rsidRDefault="003B6B62" w:rsidP="005D3DA5">
                            <w:pPr>
                              <w:spacing w:after="0"/>
                              <w:jc w:val="center"/>
                              <w:rPr>
                                <w:rFonts w:eastAsiaTheme="majorEastAsia" w:cstheme="minorHAnsi"/>
                                <w:sz w:val="20"/>
                                <w:szCs w:val="20"/>
                              </w:rPr>
                            </w:pPr>
                            <w:r w:rsidRPr="003A3800">
                              <w:rPr>
                                <w:rFonts w:eastAsiaTheme="majorEastAsia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74893" w:rsidRPr="003A3800">
                              <w:rPr>
                                <w:rFonts w:eastAsiaTheme="majorEastAsia" w:cstheme="minorHAnsi"/>
                                <w:sz w:val="20"/>
                                <w:szCs w:val="20"/>
                              </w:rPr>
                              <w:t>(</w:t>
                            </w:r>
                            <w:r w:rsidR="005A7644" w:rsidRPr="003A3800">
                              <w:rPr>
                                <w:rFonts w:eastAsiaTheme="majorEastAsia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5A7644" w:rsidRPr="003A3800">
                              <w:rPr>
                                <w:rFonts w:eastAsiaTheme="majorEastAsia" w:cstheme="minorHAnsi"/>
                                <w:sz w:val="20"/>
                                <w:szCs w:val="20"/>
                              </w:rPr>
                              <w:t>cf</w:t>
                            </w:r>
                            <w:proofErr w:type="spellEnd"/>
                            <w:r w:rsidR="005A7644" w:rsidRPr="003A3800">
                              <w:rPr>
                                <w:rFonts w:eastAsiaTheme="majorEastAsia" w:cstheme="minorHAnsi"/>
                                <w:sz w:val="20"/>
                                <w:szCs w:val="20"/>
                              </w:rPr>
                              <w:t xml:space="preserve"> page 11 et 12 du CCTAC</w:t>
                            </w:r>
                            <w:r w:rsidR="00974893" w:rsidRPr="003A3800">
                              <w:rPr>
                                <w:rFonts w:eastAsiaTheme="majorEastAsia" w:cstheme="minorHAns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5FD051" id="Forme automatique 2" o:spid="_x0000_s1026" style="position:absolute;left:0;text-align:left;margin-left:239.45pt;margin-top:169.15pt;width:63.35pt;height:517.35pt;rotation:90;z-index:2516613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" o:allowincell="f" fillcolor="white [3201]" strokecolor="#4f81bd [3204]" strokeweight="2pt">
                <v:textbox>
                  <w:txbxContent>
                    <w:p w14:paraId="2BF4F422" w14:textId="77777777" w:rsidR="005D3DA5" w:rsidRPr="003A3800" w:rsidRDefault="003B6B62" w:rsidP="005D3DA5">
                      <w:pPr>
                        <w:spacing w:after="0"/>
                        <w:jc w:val="center"/>
                        <w:rPr>
                          <w:rFonts w:eastAsiaTheme="majorEastAsia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eastAsiaTheme="majorEastAsia" w:cstheme="minorHAnsi"/>
                          <w:sz w:val="20"/>
                          <w:szCs w:val="20"/>
                        </w:rPr>
                        <w:t>Afin de favoriser un accès élargi au PRF, l</w:t>
                      </w:r>
                      <w:r w:rsidR="002F38F0">
                        <w:rPr>
                          <w:rFonts w:eastAsiaTheme="majorEastAsia" w:cstheme="minorHAnsi"/>
                          <w:sz w:val="20"/>
                          <w:szCs w:val="20"/>
                        </w:rPr>
                        <w:t>a phase</w:t>
                      </w:r>
                      <w:r w:rsidR="002F38F0" w:rsidRPr="002F38F0">
                        <w:rPr>
                          <w:rFonts w:eastAsiaTheme="majorEastAsia" w:cstheme="minorHAnsi"/>
                          <w:sz w:val="20"/>
                          <w:szCs w:val="20"/>
                        </w:rPr>
                        <w:t xml:space="preserve"> de recrutement</w:t>
                      </w:r>
                      <w:r w:rsidR="002F38F0">
                        <w:rPr>
                          <w:rFonts w:eastAsiaTheme="majorEastAsia" w:cstheme="minorHAnsi"/>
                          <w:sz w:val="20"/>
                          <w:szCs w:val="20"/>
                        </w:rPr>
                        <w:t xml:space="preserve"> (modalités/tests/outils) doit être adaptée </w:t>
                      </w:r>
                      <w:r>
                        <w:rPr>
                          <w:rFonts w:eastAsiaTheme="majorEastAsia" w:cstheme="minorHAnsi"/>
                          <w:sz w:val="20"/>
                          <w:szCs w:val="20"/>
                        </w:rPr>
                        <w:t xml:space="preserve">à la formation et permettre de capter les publics dans leur diversité, notamment </w:t>
                      </w:r>
                      <w:r w:rsidRPr="003A3800">
                        <w:rPr>
                          <w:rFonts w:eastAsiaTheme="majorEastAsia" w:cstheme="minorHAnsi"/>
                          <w:sz w:val="20"/>
                          <w:szCs w:val="20"/>
                        </w:rPr>
                        <w:t xml:space="preserve">les plus </w:t>
                      </w:r>
                      <w:r w:rsidR="00662281" w:rsidRPr="003A3800">
                        <w:rPr>
                          <w:rFonts w:eastAsiaTheme="majorEastAsia" w:cstheme="minorHAnsi"/>
                          <w:sz w:val="20"/>
                          <w:szCs w:val="20"/>
                        </w:rPr>
                        <w:t xml:space="preserve">publics fortement </w:t>
                      </w:r>
                      <w:r w:rsidRPr="003A3800">
                        <w:rPr>
                          <w:rFonts w:eastAsiaTheme="majorEastAsia" w:cstheme="minorHAnsi"/>
                          <w:sz w:val="20"/>
                          <w:szCs w:val="20"/>
                        </w:rPr>
                        <w:t>fragilisés</w:t>
                      </w:r>
                    </w:p>
                    <w:p w14:paraId="23FAE153" w14:textId="26C3432E" w:rsidR="002F38F0" w:rsidRPr="002F38F0" w:rsidRDefault="003B6B62" w:rsidP="005D3DA5">
                      <w:pPr>
                        <w:spacing w:after="0"/>
                        <w:jc w:val="center"/>
                        <w:rPr>
                          <w:rFonts w:eastAsiaTheme="majorEastAsia" w:cstheme="minorHAnsi"/>
                          <w:sz w:val="20"/>
                          <w:szCs w:val="20"/>
                        </w:rPr>
                      </w:pPr>
                      <w:r w:rsidRPr="003A3800">
                        <w:rPr>
                          <w:rFonts w:eastAsiaTheme="majorEastAsia" w:cstheme="minorHAnsi"/>
                          <w:sz w:val="20"/>
                          <w:szCs w:val="20"/>
                        </w:rPr>
                        <w:t xml:space="preserve"> </w:t>
                      </w:r>
                      <w:r w:rsidR="00974893" w:rsidRPr="003A3800">
                        <w:rPr>
                          <w:rFonts w:eastAsiaTheme="majorEastAsia" w:cstheme="minorHAnsi"/>
                          <w:sz w:val="20"/>
                          <w:szCs w:val="20"/>
                        </w:rPr>
                        <w:t>(</w:t>
                      </w:r>
                      <w:r w:rsidR="005A7644" w:rsidRPr="003A3800">
                        <w:rPr>
                          <w:rFonts w:eastAsiaTheme="majorEastAsia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5A7644" w:rsidRPr="003A3800">
                        <w:rPr>
                          <w:rFonts w:eastAsiaTheme="majorEastAsia" w:cstheme="minorHAnsi"/>
                          <w:sz w:val="20"/>
                          <w:szCs w:val="20"/>
                        </w:rPr>
                        <w:t>cf</w:t>
                      </w:r>
                      <w:proofErr w:type="spellEnd"/>
                      <w:r w:rsidR="005A7644" w:rsidRPr="003A3800">
                        <w:rPr>
                          <w:rFonts w:eastAsiaTheme="majorEastAsia" w:cstheme="minorHAnsi"/>
                          <w:sz w:val="20"/>
                          <w:szCs w:val="20"/>
                        </w:rPr>
                        <w:t xml:space="preserve"> page 11 et 12 du CCTAC</w:t>
                      </w:r>
                      <w:r w:rsidR="00974893" w:rsidRPr="003A3800">
                        <w:rPr>
                          <w:rFonts w:eastAsiaTheme="majorEastAsia" w:cstheme="minorHAnsi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rFonts w:ascii="Verdana" w:hAnsi="Verdana"/>
          <w:b/>
          <w:bCs/>
          <w:sz w:val="18"/>
          <w:szCs w:val="18"/>
        </w:rPr>
        <w:t xml:space="preserve">- </w:t>
      </w:r>
      <w:r w:rsidR="002E3E7C" w:rsidRPr="000350EA">
        <w:rPr>
          <w:rFonts w:ascii="Verdana" w:hAnsi="Verdana"/>
          <w:b/>
          <w:bCs/>
          <w:sz w:val="18"/>
          <w:szCs w:val="18"/>
        </w:rPr>
        <w:t>Les personnes en recherche d’emploi de 26 à 54 ans jusqu’à un niveau baccalauréat non obtenu.</w:t>
      </w:r>
    </w:p>
    <w:p w14:paraId="1CEA3A88" w14:textId="1D436DCB" w:rsidR="00BE7763" w:rsidRPr="000350EA" w:rsidRDefault="00BE03D2" w:rsidP="005C1CB8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  <w:r w:rsidRPr="000350EA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91440" distB="91440" distL="137160" distR="137160" simplePos="0" relativeHeight="251663360" behindDoc="0" locked="0" layoutInCell="0" allowOverlap="1" wp14:anchorId="1766C72B" wp14:editId="7449ECD2">
                <wp:simplePos x="0" y="0"/>
                <wp:positionH relativeFrom="margin">
                  <wp:posOffset>2441575</wp:posOffset>
                </wp:positionH>
                <wp:positionV relativeFrom="margin">
                  <wp:posOffset>3703320</wp:posOffset>
                </wp:positionV>
                <wp:extent cx="2020570" cy="6575425"/>
                <wp:effectExtent l="8572" t="0" r="26353" b="26352"/>
                <wp:wrapSquare wrapText="bothSides"/>
                <wp:docPr id="2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020570" cy="657542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25417B" w14:textId="52D99369" w:rsidR="00BE03D2" w:rsidRPr="003A3800" w:rsidRDefault="00BE03D2" w:rsidP="00BE03D2">
                            <w:pPr>
                              <w:jc w:val="both"/>
                              <w:rPr>
                                <w:rFonts w:eastAsiaTheme="majorEastAsia" w:cstheme="minorHAnsi"/>
                                <w:sz w:val="20"/>
                                <w:szCs w:val="20"/>
                              </w:rPr>
                            </w:pPr>
                            <w:r w:rsidRPr="003A3800">
                              <w:rPr>
                                <w:rFonts w:eastAsiaTheme="majorEastAsia" w:cstheme="minorHAnsi"/>
                                <w:sz w:val="20"/>
                                <w:szCs w:val="20"/>
                              </w:rPr>
                              <w:t>L’ensemble des acteurs du SPRO participe à l’orientation vers le PRF. Les conseils départementaux, les Missions Locales et CAP Emploi formalisent leurs orientations et inscriptions aux informations collectives via l’outil Oui FORM, France Travail via l’outil AUDE,</w:t>
                            </w:r>
                          </w:p>
                          <w:p w14:paraId="7C277BD3" w14:textId="77777777" w:rsidR="00BE03D2" w:rsidRPr="003A3800" w:rsidRDefault="00BE03D2" w:rsidP="00BE03D2">
                            <w:pPr>
                              <w:jc w:val="both"/>
                              <w:rPr>
                                <w:rFonts w:eastAsiaTheme="majorEastAsia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A3800">
                              <w:rPr>
                                <w:rFonts w:eastAsiaTheme="majorEastAsia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Aussi, la saisie par l’OF :</w:t>
                            </w:r>
                          </w:p>
                          <w:p w14:paraId="42C070B0" w14:textId="1ECEBCA3" w:rsidR="00BE03D2" w:rsidRPr="003A3800" w:rsidRDefault="00BE03D2" w:rsidP="00BE03D2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eastAsiaTheme="majorEastAsia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A3800">
                              <w:rPr>
                                <w:rFonts w:eastAsiaTheme="majorEastAsia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des informations collectives sur KAIROS et Oui FORM est indispensable pour rendre accessible l’information à l’ensemble des orienteurs.</w:t>
                            </w:r>
                          </w:p>
                          <w:p w14:paraId="717DC8E9" w14:textId="6F49273B" w:rsidR="00BE03D2" w:rsidRPr="003A3800" w:rsidRDefault="00BE03D2" w:rsidP="00BE03D2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eastAsiaTheme="majorEastAsia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A3800">
                              <w:rPr>
                                <w:rFonts w:eastAsiaTheme="majorEastAsia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De l’Attestation d’Inscription en Stage (AIS) en temps réel sur KAIROS est une étape essentielle pour assurer le suivi des orientations.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66C72B" id="_x0000_s1027" style="position:absolute;left:0;text-align:left;margin-left:192.25pt;margin-top:291.6pt;width:159.1pt;height:517.75pt;rotation:90;z-index:2516633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" o:allowincell="f" fillcolor="white [3201]" strokecolor="#4f81bd [3204]" strokeweight="2pt">
                <v:textbox>
                  <w:txbxContent>
                    <w:p w14:paraId="4D25417B" w14:textId="52D99369" w:rsidR="00BE03D2" w:rsidRPr="003A3800" w:rsidRDefault="00BE03D2" w:rsidP="00BE03D2">
                      <w:pPr>
                        <w:jc w:val="both"/>
                        <w:rPr>
                          <w:rFonts w:eastAsiaTheme="majorEastAsia" w:cstheme="minorHAnsi"/>
                          <w:sz w:val="20"/>
                          <w:szCs w:val="20"/>
                        </w:rPr>
                      </w:pPr>
                      <w:r w:rsidRPr="003A3800">
                        <w:rPr>
                          <w:rFonts w:eastAsiaTheme="majorEastAsia" w:cstheme="minorHAnsi"/>
                          <w:sz w:val="20"/>
                          <w:szCs w:val="20"/>
                        </w:rPr>
                        <w:t>L’ensemble des acteurs du SPRO participe à l’orientation vers le PRF. Les conseils départementaux, les Missions Locales et CAP Emploi formalisent leurs orientations et inscriptions aux informations collectives via l’outil Oui FORM, France Travail via l’outil AUDE,</w:t>
                      </w:r>
                    </w:p>
                    <w:p w14:paraId="7C277BD3" w14:textId="77777777" w:rsidR="00BE03D2" w:rsidRPr="003A3800" w:rsidRDefault="00BE03D2" w:rsidP="00BE03D2">
                      <w:pPr>
                        <w:jc w:val="both"/>
                        <w:rPr>
                          <w:rFonts w:eastAsiaTheme="majorEastAsia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3A3800">
                        <w:rPr>
                          <w:rFonts w:eastAsiaTheme="majorEastAsia" w:cstheme="minorHAnsi"/>
                          <w:b/>
                          <w:bCs/>
                          <w:sz w:val="20"/>
                          <w:szCs w:val="20"/>
                        </w:rPr>
                        <w:t>Aussi, la saisie par l’OF :</w:t>
                      </w:r>
                    </w:p>
                    <w:p w14:paraId="42C070B0" w14:textId="1ECEBCA3" w:rsidR="00BE03D2" w:rsidRPr="003A3800" w:rsidRDefault="00BE03D2" w:rsidP="00BE03D2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eastAsiaTheme="majorEastAsia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3A3800">
                        <w:rPr>
                          <w:rFonts w:eastAsiaTheme="majorEastAsia" w:cstheme="minorHAnsi"/>
                          <w:b/>
                          <w:bCs/>
                          <w:sz w:val="20"/>
                          <w:szCs w:val="20"/>
                        </w:rPr>
                        <w:t>des informations collectives sur KAIROS et Oui FORM est indispensable pour rendre accessible l’information à l’ensemble des orienteurs.</w:t>
                      </w:r>
                    </w:p>
                    <w:p w14:paraId="717DC8E9" w14:textId="6F49273B" w:rsidR="00BE03D2" w:rsidRPr="003A3800" w:rsidRDefault="00BE03D2" w:rsidP="00BE03D2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eastAsiaTheme="majorEastAsia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3A3800">
                        <w:rPr>
                          <w:rFonts w:eastAsiaTheme="majorEastAsia" w:cstheme="minorHAnsi"/>
                          <w:b/>
                          <w:bCs/>
                          <w:sz w:val="20"/>
                          <w:szCs w:val="20"/>
                        </w:rPr>
                        <w:t>De l’Attestation d’Inscription en Stage (AIS) en temps réel sur KAIROS est une étape essentielle pour assurer le suivi des orientations.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BE7763" w:rsidRPr="000350EA">
        <w:rPr>
          <w:rFonts w:ascii="Verdana" w:hAnsi="Verdana"/>
          <w:b/>
          <w:bCs/>
          <w:sz w:val="18"/>
          <w:szCs w:val="18"/>
        </w:rPr>
        <w:t>Au titre des engagements pris dans le cadre du PACTE 2024-2027, l’inscription à France</w:t>
      </w:r>
      <w:r w:rsidR="00662281" w:rsidRPr="000350EA">
        <w:rPr>
          <w:rFonts w:ascii="Verdana" w:hAnsi="Verdana"/>
          <w:b/>
          <w:bCs/>
          <w:sz w:val="18"/>
          <w:szCs w:val="18"/>
        </w:rPr>
        <w:t xml:space="preserve"> </w:t>
      </w:r>
      <w:r w:rsidR="00BE7763" w:rsidRPr="000350EA">
        <w:rPr>
          <w:rFonts w:ascii="Verdana" w:hAnsi="Verdana"/>
          <w:b/>
          <w:bCs/>
          <w:sz w:val="18"/>
          <w:szCs w:val="18"/>
        </w:rPr>
        <w:t>Travail des personnes en recherche d’emploi est vivement conseillée et ceci avant d’entrer en formation</w:t>
      </w:r>
      <w:r w:rsidR="00BE0099">
        <w:rPr>
          <w:rFonts w:ascii="Verdana" w:hAnsi="Verdana"/>
          <w:b/>
          <w:bCs/>
          <w:sz w:val="18"/>
          <w:szCs w:val="18"/>
        </w:rPr>
        <w:t xml:space="preserve"> (mais elle n’est pas obligatoire pour entrer dans une formation PRF)</w:t>
      </w:r>
      <w:r w:rsidR="00BE7763" w:rsidRPr="000350EA">
        <w:rPr>
          <w:rFonts w:ascii="Verdana" w:hAnsi="Verdana"/>
          <w:b/>
          <w:bCs/>
          <w:sz w:val="18"/>
          <w:szCs w:val="18"/>
        </w:rPr>
        <w:t>. Le cas échéant</w:t>
      </w:r>
      <w:r w:rsidR="009347D5" w:rsidRPr="000350EA">
        <w:rPr>
          <w:rFonts w:ascii="Verdana" w:hAnsi="Verdana"/>
          <w:b/>
          <w:bCs/>
          <w:sz w:val="18"/>
          <w:szCs w:val="18"/>
        </w:rPr>
        <w:t xml:space="preserve">, il appartient à l’organisme de formation de mettre en place l’accompagnement </w:t>
      </w:r>
      <w:r w:rsidR="002E3E7C" w:rsidRPr="000350EA">
        <w:rPr>
          <w:rFonts w:ascii="Verdana" w:hAnsi="Verdana"/>
          <w:b/>
          <w:bCs/>
          <w:sz w:val="18"/>
          <w:szCs w:val="18"/>
        </w:rPr>
        <w:t>n</w:t>
      </w:r>
      <w:r w:rsidR="009347D5" w:rsidRPr="000350EA">
        <w:rPr>
          <w:rFonts w:ascii="Verdana" w:hAnsi="Verdana"/>
          <w:b/>
          <w:bCs/>
          <w:sz w:val="18"/>
          <w:szCs w:val="18"/>
        </w:rPr>
        <w:t xml:space="preserve">écessaire pour réaliser l’inscription à </w:t>
      </w:r>
      <w:r w:rsidR="003A3800" w:rsidRPr="000350EA">
        <w:rPr>
          <w:rFonts w:ascii="Verdana" w:hAnsi="Verdana"/>
          <w:b/>
          <w:bCs/>
          <w:sz w:val="18"/>
          <w:szCs w:val="18"/>
        </w:rPr>
        <w:t xml:space="preserve">France </w:t>
      </w:r>
      <w:r w:rsidR="009347D5" w:rsidRPr="000350EA">
        <w:rPr>
          <w:rFonts w:ascii="Verdana" w:hAnsi="Verdana"/>
          <w:b/>
          <w:bCs/>
          <w:sz w:val="18"/>
          <w:szCs w:val="18"/>
        </w:rPr>
        <w:t>T</w:t>
      </w:r>
      <w:r w:rsidR="003A3800" w:rsidRPr="000350EA">
        <w:rPr>
          <w:rFonts w:ascii="Verdana" w:hAnsi="Verdana"/>
          <w:b/>
          <w:bCs/>
          <w:sz w:val="18"/>
          <w:szCs w:val="18"/>
        </w:rPr>
        <w:t>ravail</w:t>
      </w:r>
      <w:r w:rsidR="00BE0099">
        <w:rPr>
          <w:rFonts w:ascii="Verdana" w:hAnsi="Verdana"/>
          <w:b/>
          <w:bCs/>
          <w:sz w:val="18"/>
          <w:szCs w:val="18"/>
        </w:rPr>
        <w:t xml:space="preserve"> avant l’entrée en formation ou à l’issue de la formation (J+1)</w:t>
      </w:r>
      <w:r w:rsidR="009347D5" w:rsidRPr="000350EA">
        <w:rPr>
          <w:rFonts w:ascii="Verdana" w:hAnsi="Verdana"/>
          <w:b/>
          <w:bCs/>
          <w:sz w:val="18"/>
          <w:szCs w:val="18"/>
        </w:rPr>
        <w:t>.</w:t>
      </w:r>
    </w:p>
    <w:p w14:paraId="29A3BD76" w14:textId="3D9BA5E8" w:rsidR="00662281" w:rsidRPr="005A7644" w:rsidRDefault="00662281" w:rsidP="005A7644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  <w:highlight w:val="yellow"/>
        </w:rPr>
      </w:pPr>
    </w:p>
    <w:p w14:paraId="13B367CA" w14:textId="79B22B8D" w:rsidR="001063B8" w:rsidRPr="000350EA" w:rsidRDefault="0087166E" w:rsidP="009872A8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350EA">
        <w:rPr>
          <w:rFonts w:ascii="Verdana" w:hAnsi="Verdana"/>
          <w:sz w:val="18"/>
          <w:szCs w:val="18"/>
        </w:rPr>
        <w:t xml:space="preserve">Avec un </w:t>
      </w:r>
      <w:r w:rsidRPr="000350EA">
        <w:rPr>
          <w:rFonts w:ascii="Verdana" w:hAnsi="Verdana"/>
          <w:b/>
          <w:bCs/>
          <w:sz w:val="18"/>
          <w:szCs w:val="18"/>
        </w:rPr>
        <w:t>ancrage</w:t>
      </w:r>
      <w:r w:rsidRPr="000350EA">
        <w:rPr>
          <w:rFonts w:ascii="Verdana" w:hAnsi="Verdana"/>
          <w:sz w:val="18"/>
          <w:szCs w:val="18"/>
        </w:rPr>
        <w:t xml:space="preserve"> de leurs actions sur le territoire en tissant un lien étroit avec l’écosystème de l’orientation et toute autre structure susceptible d’y concourir en tant que « premiers lieux d’accueil des publics » (ex : Mairies, CAF etc…)</w:t>
      </w:r>
      <w:r w:rsidR="005A7644" w:rsidRPr="000350EA">
        <w:rPr>
          <w:rFonts w:ascii="Verdana" w:hAnsi="Verdana"/>
          <w:sz w:val="18"/>
          <w:szCs w:val="18"/>
        </w:rPr>
        <w:t xml:space="preserve"> et bien évidemment les membres du </w:t>
      </w:r>
      <w:r w:rsidR="001D6B44" w:rsidRPr="000350EA">
        <w:rPr>
          <w:rFonts w:ascii="Verdana" w:hAnsi="Verdana"/>
          <w:sz w:val="18"/>
          <w:szCs w:val="18"/>
        </w:rPr>
        <w:t>SPE/</w:t>
      </w:r>
      <w:r w:rsidR="005A7644" w:rsidRPr="000350EA">
        <w:rPr>
          <w:rFonts w:ascii="Verdana" w:hAnsi="Verdana"/>
          <w:sz w:val="18"/>
          <w:szCs w:val="18"/>
        </w:rPr>
        <w:t>SPRO.</w:t>
      </w:r>
    </w:p>
    <w:p w14:paraId="0CC25968" w14:textId="54434C68" w:rsidR="005A7644" w:rsidRPr="000350EA" w:rsidRDefault="005A7644" w:rsidP="009872A8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350EA">
        <w:rPr>
          <w:rFonts w:ascii="Verdana" w:hAnsi="Verdana"/>
          <w:sz w:val="18"/>
          <w:szCs w:val="18"/>
        </w:rPr>
        <w:t xml:space="preserve">En </w:t>
      </w:r>
      <w:r w:rsidR="001D6B44" w:rsidRPr="000350EA">
        <w:rPr>
          <w:rFonts w:ascii="Verdana" w:hAnsi="Verdana"/>
          <w:sz w:val="18"/>
          <w:szCs w:val="18"/>
        </w:rPr>
        <w:t xml:space="preserve">privilégiant </w:t>
      </w:r>
      <w:r w:rsidR="003A3800" w:rsidRPr="000350EA">
        <w:rPr>
          <w:rFonts w:ascii="Verdana" w:hAnsi="Verdana"/>
          <w:sz w:val="18"/>
          <w:szCs w:val="18"/>
        </w:rPr>
        <w:t xml:space="preserve">des actions </w:t>
      </w:r>
      <w:r w:rsidRPr="000350EA">
        <w:rPr>
          <w:rFonts w:ascii="Verdana" w:hAnsi="Verdana"/>
          <w:sz w:val="18"/>
          <w:szCs w:val="18"/>
        </w:rPr>
        <w:t>« aller vers » pour mobiliser les publics les plus éloignés de l’emploi</w:t>
      </w:r>
      <w:r w:rsidR="001D6B44" w:rsidRPr="000350EA">
        <w:rPr>
          <w:rFonts w:ascii="Verdana" w:hAnsi="Verdana"/>
          <w:sz w:val="18"/>
          <w:szCs w:val="18"/>
        </w:rPr>
        <w:t xml:space="preserve">/ </w:t>
      </w:r>
      <w:r w:rsidR="008B5730" w:rsidRPr="000350EA">
        <w:rPr>
          <w:rFonts w:ascii="Verdana" w:hAnsi="Verdana"/>
          <w:sz w:val="18"/>
          <w:szCs w:val="18"/>
        </w:rPr>
        <w:t>en s’appuyant sur la stratégie régionale de mobilisation des publics.</w:t>
      </w:r>
    </w:p>
    <w:p w14:paraId="25674E0C" w14:textId="5E0AB325" w:rsidR="0087166E" w:rsidRDefault="0087166E" w:rsidP="009872A8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9376B">
        <w:rPr>
          <w:rFonts w:ascii="Verdana" w:hAnsi="Verdana"/>
          <w:sz w:val="18"/>
          <w:szCs w:val="18"/>
        </w:rPr>
        <w:t xml:space="preserve">En </w:t>
      </w:r>
      <w:r w:rsidRPr="00C9376B">
        <w:rPr>
          <w:rFonts w:ascii="Verdana" w:hAnsi="Verdana"/>
          <w:b/>
          <w:bCs/>
          <w:sz w:val="18"/>
          <w:szCs w:val="18"/>
        </w:rPr>
        <w:t>innovant</w:t>
      </w:r>
      <w:r w:rsidRPr="00C9376B">
        <w:rPr>
          <w:rFonts w:ascii="Verdana" w:hAnsi="Verdana"/>
          <w:sz w:val="18"/>
          <w:szCs w:val="18"/>
        </w:rPr>
        <w:t xml:space="preserve"> dans leur mode de recrutement pour contribuer à susciter l’appétence à la formation</w:t>
      </w:r>
      <w:r w:rsidR="00045851" w:rsidRPr="00C9376B">
        <w:rPr>
          <w:rFonts w:ascii="Verdana" w:hAnsi="Verdana"/>
          <w:sz w:val="18"/>
          <w:szCs w:val="18"/>
        </w:rPr>
        <w:t xml:space="preserve"> (formats renouvelés d’information collective</w:t>
      </w:r>
      <w:r w:rsidR="00020DCE" w:rsidRPr="00C9376B">
        <w:rPr>
          <w:rFonts w:ascii="Verdana" w:hAnsi="Verdana"/>
          <w:sz w:val="18"/>
          <w:szCs w:val="18"/>
        </w:rPr>
        <w:t>, présentation de la formation sous forme d’ESCAPE GAME, présentation des métiers via la réalité augmenté</w:t>
      </w:r>
      <w:r w:rsidR="00063E33" w:rsidRPr="00C9376B">
        <w:rPr>
          <w:rFonts w:ascii="Verdana" w:hAnsi="Verdana"/>
          <w:sz w:val="18"/>
          <w:szCs w:val="18"/>
        </w:rPr>
        <w:t>e etc…)</w:t>
      </w:r>
    </w:p>
    <w:p w14:paraId="69043304" w14:textId="0E3B5264" w:rsidR="00C9376B" w:rsidRDefault="00C9376B" w:rsidP="009872A8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En mobilisant </w:t>
      </w:r>
      <w:r w:rsidRPr="00C9376B">
        <w:rPr>
          <w:rFonts w:ascii="Verdana" w:hAnsi="Verdana"/>
          <w:sz w:val="18"/>
          <w:szCs w:val="18"/>
        </w:rPr>
        <w:t>de nouveaux canaux de communication tels que les réseaux sociaux pour toucher le public jeune</w:t>
      </w:r>
      <w:r w:rsidRPr="000350EA">
        <w:rPr>
          <w:rFonts w:ascii="Verdana" w:hAnsi="Verdana"/>
          <w:sz w:val="18"/>
          <w:szCs w:val="18"/>
        </w:rPr>
        <w:t xml:space="preserve">, en privilégiant une communication accessible pour tous et notamment le public en situation d’illettrisme </w:t>
      </w:r>
      <w:r w:rsidRPr="00BE0099">
        <w:rPr>
          <w:rFonts w:ascii="Verdana" w:hAnsi="Verdana"/>
          <w:sz w:val="18"/>
          <w:szCs w:val="18"/>
        </w:rPr>
        <w:t>(ex : support de communication basé sur la méthode Facile A Lire et à Comprendre – FALC).</w:t>
      </w:r>
    </w:p>
    <w:p w14:paraId="63543D24" w14:textId="77777777" w:rsidR="00295282" w:rsidRPr="00295282" w:rsidRDefault="00295282" w:rsidP="0029528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7E37E62" w14:textId="77777777" w:rsidR="00940E63" w:rsidRDefault="00940E63" w:rsidP="0004585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8DA1B71" w14:textId="77777777" w:rsidR="00BE03D2" w:rsidRDefault="00BE03D2" w:rsidP="0004585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BC57B33" w14:textId="77777777" w:rsidR="00BE03D2" w:rsidRDefault="00BE03D2" w:rsidP="0004585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162BF4C" w14:textId="77777777" w:rsidR="00BF2317" w:rsidRDefault="00BF2317">
      <w:pPr>
        <w:rPr>
          <w:b/>
          <w:bCs/>
          <w:noProof/>
        </w:rPr>
      </w:pPr>
      <w:r>
        <w:rPr>
          <w:b/>
          <w:bCs/>
          <w:noProof/>
        </w:rPr>
        <w:br w:type="page"/>
      </w:r>
    </w:p>
    <w:p w14:paraId="7631DB7D" w14:textId="37BB240C" w:rsidR="005F43AA" w:rsidRDefault="005F43AA" w:rsidP="00614996">
      <w:pPr>
        <w:spacing w:after="0" w:line="240" w:lineRule="auto"/>
        <w:jc w:val="center"/>
        <w:rPr>
          <w:b/>
          <w:bCs/>
          <w:noProof/>
        </w:rPr>
      </w:pPr>
      <w:r w:rsidRPr="005F43AA">
        <w:rPr>
          <w:b/>
          <w:bCs/>
          <w:noProof/>
        </w:rPr>
        <w:lastRenderedPageBreak/>
        <w:t>Information Collective</w:t>
      </w:r>
    </w:p>
    <w:p w14:paraId="1FA171FD" w14:textId="0EB9E1E4" w:rsidR="00F5066C" w:rsidRPr="005F43AA" w:rsidRDefault="00F5066C" w:rsidP="00614996">
      <w:pPr>
        <w:spacing w:after="0" w:line="240" w:lineRule="auto"/>
        <w:jc w:val="center"/>
        <w:rPr>
          <w:b/>
          <w:bCs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B28B0" wp14:editId="50402B65">
                <wp:simplePos x="0" y="0"/>
                <wp:positionH relativeFrom="margin">
                  <wp:posOffset>3343276</wp:posOffset>
                </wp:positionH>
                <wp:positionV relativeFrom="paragraph">
                  <wp:posOffset>88900</wp:posOffset>
                </wp:positionV>
                <wp:extent cx="95250" cy="171450"/>
                <wp:effectExtent l="19050" t="0" r="38100" b="38100"/>
                <wp:wrapNone/>
                <wp:docPr id="8" name="Flèche : bas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39FD117-AB2A-4AD0-8D9E-15F9734B3F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71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AA0C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7" o:spid="_x0000_s1026" type="#_x0000_t67" style="position:absolute;margin-left:263.25pt;margin-top:7pt;width:7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" adj="15600" fillcolor="#4f81bd [3204]" strokecolor="#243f60 [1604]" strokeweight="2pt">
                <w10:wrap anchorx="margin"/>
              </v:shape>
            </w:pict>
          </mc:Fallback>
        </mc:AlternateContent>
      </w:r>
    </w:p>
    <w:p w14:paraId="49F3406A" w14:textId="2A5F2DC5" w:rsidR="00940E63" w:rsidRPr="005F43AA" w:rsidRDefault="00940E63" w:rsidP="005F43AA">
      <w:pPr>
        <w:pStyle w:val="Paragraphedeliste"/>
        <w:spacing w:after="0" w:line="240" w:lineRule="auto"/>
        <w:rPr>
          <w:b/>
          <w:bCs/>
          <w:noProof/>
        </w:rPr>
      </w:pPr>
    </w:p>
    <w:p w14:paraId="61CA9654" w14:textId="0BEA1064" w:rsidR="007B2D20" w:rsidRPr="00074417" w:rsidRDefault="00844D09" w:rsidP="00074417">
      <w:pPr>
        <w:pStyle w:val="Paragraphedeliste"/>
        <w:spacing w:after="0" w:line="24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2B9DC80C" wp14:editId="6877E0B1">
            <wp:extent cx="6160770" cy="3314700"/>
            <wp:effectExtent l="0" t="38100" r="0" b="95250"/>
            <wp:docPr id="10" name="Diagramme 10">
              <a:extLst xmlns:a="http://schemas.openxmlformats.org/drawingml/2006/main">
                <a:ext uri="{FF2B5EF4-FFF2-40B4-BE49-F238E27FC236}">
                  <a16:creationId xmlns:a16="http://schemas.microsoft.com/office/drawing/2014/main" id="{7BD7543C-E0AF-4555-96C8-3939137357F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7B7BF3D2" w14:textId="46F316BA" w:rsidR="00BE03D2" w:rsidRDefault="00BE03D2" w:rsidP="007B2D2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31849B" w:themeColor="accent5" w:themeShade="BF"/>
          <w:sz w:val="20"/>
          <w:szCs w:val="20"/>
          <w:u w:val="single"/>
        </w:rPr>
      </w:pPr>
    </w:p>
    <w:p w14:paraId="548B9C14" w14:textId="77777777" w:rsidR="00BE03D2" w:rsidRDefault="00BE03D2" w:rsidP="007B2D2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31849B" w:themeColor="accent5" w:themeShade="BF"/>
          <w:sz w:val="20"/>
          <w:szCs w:val="20"/>
          <w:u w:val="single"/>
        </w:rPr>
      </w:pPr>
    </w:p>
    <w:p w14:paraId="4999C0B4" w14:textId="5D45A9B0" w:rsidR="007B2D20" w:rsidRDefault="007B2D20" w:rsidP="007B2D2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31849B" w:themeColor="accent5" w:themeShade="BF"/>
          <w:sz w:val="20"/>
          <w:szCs w:val="20"/>
          <w:u w:val="single"/>
        </w:rPr>
      </w:pPr>
      <w:r>
        <w:rPr>
          <w:rFonts w:ascii="Verdana" w:hAnsi="Verdana" w:cs="Verdana"/>
          <w:b/>
          <w:bCs/>
          <w:color w:val="31849B" w:themeColor="accent5" w:themeShade="BF"/>
          <w:sz w:val="20"/>
          <w:szCs w:val="20"/>
          <w:u w:val="single"/>
        </w:rPr>
        <w:t xml:space="preserve">2/ ETAPE </w:t>
      </w:r>
      <w:r w:rsidR="0069621F">
        <w:rPr>
          <w:rFonts w:ascii="Verdana" w:hAnsi="Verdana" w:cs="Verdana"/>
          <w:b/>
          <w:bCs/>
          <w:color w:val="31849B" w:themeColor="accent5" w:themeShade="BF"/>
          <w:sz w:val="20"/>
          <w:szCs w:val="20"/>
          <w:u w:val="single"/>
        </w:rPr>
        <w:t>CLE : LE POSITIONNEMENT</w:t>
      </w:r>
    </w:p>
    <w:p w14:paraId="55CE9F25" w14:textId="6FE2F142" w:rsidR="0069621F" w:rsidRDefault="0069621F" w:rsidP="007B2D2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31849B" w:themeColor="accent5" w:themeShade="BF"/>
          <w:sz w:val="20"/>
          <w:szCs w:val="20"/>
          <w:u w:val="single"/>
        </w:rPr>
      </w:pPr>
    </w:p>
    <w:p w14:paraId="14A2D97D" w14:textId="3662CFF9" w:rsidR="005D5021" w:rsidRPr="00774171" w:rsidRDefault="0069621F" w:rsidP="005D5021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774171">
        <w:rPr>
          <w:rFonts w:ascii="Verdana" w:hAnsi="Verdana"/>
          <w:sz w:val="18"/>
          <w:szCs w:val="18"/>
        </w:rPr>
        <w:t xml:space="preserve">Le </w:t>
      </w:r>
      <w:r w:rsidR="008D2B0A" w:rsidRPr="00774171">
        <w:rPr>
          <w:rFonts w:ascii="Verdana" w:hAnsi="Verdana"/>
          <w:sz w:val="18"/>
          <w:szCs w:val="18"/>
        </w:rPr>
        <w:t>positionnement</w:t>
      </w:r>
      <w:r w:rsidRPr="00774171">
        <w:rPr>
          <w:rFonts w:ascii="Verdana" w:hAnsi="Verdana"/>
          <w:sz w:val="18"/>
          <w:szCs w:val="18"/>
        </w:rPr>
        <w:t xml:space="preserve"> est </w:t>
      </w:r>
      <w:r w:rsidR="008D2B0A" w:rsidRPr="00774171">
        <w:rPr>
          <w:rFonts w:ascii="Verdana" w:hAnsi="Verdana"/>
          <w:sz w:val="18"/>
          <w:szCs w:val="18"/>
        </w:rPr>
        <w:t>distinct et succède à</w:t>
      </w:r>
      <w:r w:rsidRPr="00774171">
        <w:rPr>
          <w:rFonts w:ascii="Verdana" w:hAnsi="Verdana"/>
          <w:sz w:val="18"/>
          <w:szCs w:val="18"/>
        </w:rPr>
        <w:t xml:space="preserve"> l’étape de </w:t>
      </w:r>
      <w:r w:rsidR="008D2B0A" w:rsidRPr="00774171">
        <w:rPr>
          <w:rFonts w:ascii="Verdana" w:hAnsi="Verdana"/>
          <w:sz w:val="18"/>
          <w:szCs w:val="18"/>
        </w:rPr>
        <w:t>recrutement</w:t>
      </w:r>
      <w:r w:rsidR="005D5021" w:rsidRPr="00774171">
        <w:rPr>
          <w:rFonts w:ascii="Verdana" w:hAnsi="Verdana"/>
          <w:sz w:val="18"/>
          <w:szCs w:val="18"/>
        </w:rPr>
        <w:t> :</w:t>
      </w:r>
    </w:p>
    <w:p w14:paraId="203EBC37" w14:textId="787EBD48" w:rsidR="005D5021" w:rsidRPr="00774171" w:rsidRDefault="00620AF1" w:rsidP="00620AF1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774171">
        <w:rPr>
          <w:rFonts w:ascii="Verdana" w:hAnsi="Verdana"/>
          <w:sz w:val="18"/>
          <w:szCs w:val="18"/>
        </w:rPr>
        <w:t xml:space="preserve">- </w:t>
      </w:r>
      <w:r w:rsidR="008D2B0A" w:rsidRPr="00774171">
        <w:rPr>
          <w:rFonts w:ascii="Verdana" w:hAnsi="Verdana"/>
          <w:sz w:val="18"/>
          <w:szCs w:val="18"/>
        </w:rPr>
        <w:t>Il</w:t>
      </w:r>
      <w:r w:rsidR="005D5021" w:rsidRPr="00774171">
        <w:rPr>
          <w:rFonts w:ascii="Verdana" w:hAnsi="Verdana"/>
          <w:sz w:val="18"/>
          <w:szCs w:val="18"/>
        </w:rPr>
        <w:t xml:space="preserve"> intervient au début de la formation suivi d’une </w:t>
      </w:r>
      <w:proofErr w:type="spellStart"/>
      <w:r w:rsidR="005D5021" w:rsidRPr="00774171">
        <w:rPr>
          <w:rFonts w:ascii="Verdana" w:hAnsi="Verdana"/>
          <w:sz w:val="18"/>
          <w:szCs w:val="18"/>
        </w:rPr>
        <w:t>co</w:t>
      </w:r>
      <w:proofErr w:type="spellEnd"/>
      <w:r w:rsidR="005D5021" w:rsidRPr="00774171">
        <w:rPr>
          <w:rFonts w:ascii="Verdana" w:hAnsi="Verdana"/>
          <w:sz w:val="18"/>
          <w:szCs w:val="18"/>
        </w:rPr>
        <w:t>-validation</w:t>
      </w:r>
      <w:r w:rsidR="008D2B0A" w:rsidRPr="00774171">
        <w:rPr>
          <w:rFonts w:ascii="Verdana" w:hAnsi="Verdana"/>
          <w:sz w:val="18"/>
          <w:szCs w:val="18"/>
        </w:rPr>
        <w:t xml:space="preserve"> (a minima stagiaire/OF)</w:t>
      </w:r>
      <w:r w:rsidR="005D5021" w:rsidRPr="00774171">
        <w:rPr>
          <w:rFonts w:ascii="Verdana" w:hAnsi="Verdana"/>
          <w:sz w:val="18"/>
          <w:szCs w:val="18"/>
        </w:rPr>
        <w:t xml:space="preserve"> du parcours prescrit au travers d’un entretien.</w:t>
      </w:r>
    </w:p>
    <w:p w14:paraId="68E8BF2E" w14:textId="46B30BBF" w:rsidR="005D5021" w:rsidRPr="00774171" w:rsidRDefault="005D5021" w:rsidP="00620AF1">
      <w:pPr>
        <w:jc w:val="both"/>
        <w:rPr>
          <w:rFonts w:ascii="Verdana" w:hAnsi="Verdana"/>
          <w:sz w:val="18"/>
          <w:szCs w:val="18"/>
        </w:rPr>
      </w:pPr>
      <w:r w:rsidRPr="00774171">
        <w:rPr>
          <w:rFonts w:ascii="Verdana" w:hAnsi="Verdana"/>
          <w:sz w:val="18"/>
          <w:szCs w:val="18"/>
        </w:rPr>
        <w:t xml:space="preserve">Il a pour but de définir un </w:t>
      </w:r>
      <w:r w:rsidRPr="00774171">
        <w:rPr>
          <w:rFonts w:ascii="Verdana" w:hAnsi="Verdana"/>
          <w:b/>
          <w:bCs/>
          <w:sz w:val="18"/>
          <w:szCs w:val="18"/>
        </w:rPr>
        <w:t>plan d</w:t>
      </w:r>
      <w:r w:rsidR="00BE0099">
        <w:rPr>
          <w:rFonts w:ascii="Verdana" w:hAnsi="Verdana"/>
          <w:b/>
          <w:bCs/>
          <w:sz w:val="18"/>
          <w:szCs w:val="18"/>
        </w:rPr>
        <w:t xml:space="preserve">e formation </w:t>
      </w:r>
      <w:r w:rsidRPr="00774171">
        <w:rPr>
          <w:rFonts w:ascii="Verdana" w:hAnsi="Verdana"/>
          <w:b/>
          <w:bCs/>
          <w:sz w:val="18"/>
          <w:szCs w:val="18"/>
        </w:rPr>
        <w:t>personnalisé</w:t>
      </w:r>
      <w:r w:rsidRPr="00774171">
        <w:rPr>
          <w:rFonts w:ascii="Verdana" w:hAnsi="Verdana"/>
          <w:sz w:val="18"/>
          <w:szCs w:val="18"/>
        </w:rPr>
        <w:t xml:space="preserve"> (individualisation du parcours, modularisation, déploiement du module RAN</w:t>
      </w:r>
      <w:r w:rsidR="00E34E3F" w:rsidRPr="00774171">
        <w:rPr>
          <w:rFonts w:ascii="Verdana" w:hAnsi="Verdana"/>
          <w:sz w:val="18"/>
          <w:szCs w:val="18"/>
        </w:rPr>
        <w:t>…</w:t>
      </w:r>
      <w:r w:rsidRPr="00774171">
        <w:rPr>
          <w:rFonts w:ascii="Verdana" w:hAnsi="Verdana"/>
          <w:sz w:val="18"/>
          <w:szCs w:val="18"/>
        </w:rPr>
        <w:t>) en tenant compte des évaluations préalables (compétences</w:t>
      </w:r>
      <w:r w:rsidR="00074417" w:rsidRPr="00774171">
        <w:rPr>
          <w:rFonts w:ascii="Verdana" w:hAnsi="Verdana"/>
          <w:sz w:val="18"/>
          <w:szCs w:val="18"/>
        </w:rPr>
        <w:t xml:space="preserve"> métiers, de base,</w:t>
      </w:r>
      <w:r w:rsidRPr="00774171">
        <w:rPr>
          <w:rFonts w:ascii="Verdana" w:hAnsi="Verdana"/>
          <w:sz w:val="18"/>
          <w:szCs w:val="18"/>
        </w:rPr>
        <w:t xml:space="preserve"> transverses) notamment celles réalisées par les prescripteurs ou d’autres acteurs (PMSMP</w:t>
      </w:r>
      <w:r w:rsidR="00BB7864">
        <w:rPr>
          <w:rStyle w:val="Appelnotedebasdep"/>
          <w:rFonts w:ascii="Verdana" w:hAnsi="Verdana"/>
          <w:sz w:val="18"/>
          <w:szCs w:val="18"/>
        </w:rPr>
        <w:footnoteReference w:id="1"/>
      </w:r>
      <w:r w:rsidRPr="00774171">
        <w:rPr>
          <w:rFonts w:ascii="Verdana" w:hAnsi="Verdana"/>
          <w:sz w:val="18"/>
          <w:szCs w:val="18"/>
        </w:rPr>
        <w:t>, bilans de compétences etc…)</w:t>
      </w:r>
    </w:p>
    <w:p w14:paraId="0A1365AB" w14:textId="50784887" w:rsidR="00620AF1" w:rsidRPr="00774171" w:rsidRDefault="00620AF1" w:rsidP="00620AF1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774171">
        <w:rPr>
          <w:rFonts w:ascii="Verdana" w:hAnsi="Verdana"/>
          <w:sz w:val="18"/>
          <w:szCs w:val="18"/>
        </w:rPr>
        <w:t>- En cas de besoin d’un appui pour permettre aux personnes en situation de handicap d’accéder aux formations, l’organisme de formation</w:t>
      </w:r>
      <w:r w:rsidR="003A3800">
        <w:rPr>
          <w:rFonts w:ascii="Verdana" w:hAnsi="Verdana"/>
          <w:sz w:val="18"/>
          <w:szCs w:val="18"/>
        </w:rPr>
        <w:t>, en lien avec son référent handicap,</w:t>
      </w:r>
      <w:r w:rsidRPr="00774171">
        <w:rPr>
          <w:rFonts w:ascii="Verdana" w:hAnsi="Verdana"/>
          <w:sz w:val="18"/>
          <w:szCs w:val="18"/>
        </w:rPr>
        <w:t xml:space="preserve"> peut mobiliser </w:t>
      </w:r>
      <w:r w:rsidR="003A3800">
        <w:rPr>
          <w:rFonts w:ascii="Verdana" w:hAnsi="Verdana"/>
          <w:sz w:val="18"/>
          <w:szCs w:val="18"/>
        </w:rPr>
        <w:t xml:space="preserve">l’AGEFIPH via </w:t>
      </w:r>
      <w:r w:rsidRPr="00774171">
        <w:rPr>
          <w:rFonts w:ascii="Verdana" w:hAnsi="Verdana"/>
          <w:sz w:val="18"/>
          <w:szCs w:val="18"/>
        </w:rPr>
        <w:t xml:space="preserve">la Ressource Handicap Formation (RHF). La RHF propose de coconstruire des solutions d’aménagement des parcours de formation et d’accompagner les acteurs de la formation à mieux répondre à leurs obligations en termes d’accessibilité et de compensation du handicap. La saisie de la RHF se fait par mail à l’adresse suivante : </w:t>
      </w:r>
      <w:hyperlink r:id="rId13" w:history="1">
        <w:r w:rsidR="00BE0099" w:rsidRPr="00373877">
          <w:rPr>
            <w:rStyle w:val="Lienhypertexte"/>
            <w:rFonts w:ascii="Verdana" w:hAnsi="Verdana"/>
            <w:sz w:val="18"/>
            <w:szCs w:val="18"/>
          </w:rPr>
          <w:t>rhf-cvl@agefiph.asso.fr</w:t>
        </w:r>
      </w:hyperlink>
      <w:r w:rsidR="00BE0099">
        <w:rPr>
          <w:rFonts w:ascii="Verdana" w:hAnsi="Verdana"/>
          <w:sz w:val="18"/>
          <w:szCs w:val="18"/>
        </w:rPr>
        <w:t xml:space="preserve"> </w:t>
      </w:r>
    </w:p>
    <w:p w14:paraId="4BC6CE0F" w14:textId="77777777" w:rsidR="00620AF1" w:rsidRPr="00774171" w:rsidRDefault="00620AF1" w:rsidP="00620AF1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5356DDE2" w14:textId="0D666C99" w:rsidR="00222883" w:rsidRPr="00774171" w:rsidRDefault="00620AF1" w:rsidP="00620AF1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774171">
        <w:rPr>
          <w:rFonts w:ascii="Verdana" w:hAnsi="Verdana"/>
          <w:sz w:val="18"/>
          <w:szCs w:val="18"/>
        </w:rPr>
        <w:t xml:space="preserve">- </w:t>
      </w:r>
      <w:r w:rsidR="00E34E3F" w:rsidRPr="00774171">
        <w:rPr>
          <w:rFonts w:ascii="Verdana" w:hAnsi="Verdana"/>
          <w:sz w:val="18"/>
          <w:szCs w:val="18"/>
        </w:rPr>
        <w:t>Le positionnement est un processus pédagogique progressif</w:t>
      </w:r>
      <w:r w:rsidR="00074417" w:rsidRPr="00774171">
        <w:rPr>
          <w:rFonts w:ascii="Verdana" w:hAnsi="Verdana"/>
          <w:sz w:val="18"/>
          <w:szCs w:val="18"/>
        </w:rPr>
        <w:t xml:space="preserve"> </w:t>
      </w:r>
      <w:proofErr w:type="spellStart"/>
      <w:r w:rsidR="00074417" w:rsidRPr="00774171">
        <w:rPr>
          <w:rFonts w:ascii="Verdana" w:hAnsi="Verdana"/>
          <w:sz w:val="18"/>
          <w:szCs w:val="18"/>
        </w:rPr>
        <w:t>co-construit</w:t>
      </w:r>
      <w:proofErr w:type="spellEnd"/>
      <w:r w:rsidR="00074417" w:rsidRPr="00774171">
        <w:rPr>
          <w:rFonts w:ascii="Verdana" w:hAnsi="Verdana"/>
          <w:sz w:val="18"/>
          <w:szCs w:val="18"/>
        </w:rPr>
        <w:t xml:space="preserve"> avec l’apprenant ayant pour objectif d’aboutir au « juste parcours de formation »</w:t>
      </w:r>
      <w:r w:rsidR="00BE0099">
        <w:rPr>
          <w:rFonts w:ascii="Verdana" w:hAnsi="Verdana"/>
          <w:sz w:val="18"/>
          <w:szCs w:val="18"/>
        </w:rPr>
        <w:t>.</w:t>
      </w:r>
    </w:p>
    <w:p w14:paraId="2F66CD7A" w14:textId="5EF06439" w:rsidR="00222883" w:rsidRDefault="00222883" w:rsidP="00222883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41F581EA" w14:textId="77777777" w:rsidR="0069621F" w:rsidRPr="0069621F" w:rsidRDefault="0069621F" w:rsidP="0069621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39B071F" w14:textId="5F758946" w:rsidR="0069621F" w:rsidRDefault="0069621F" w:rsidP="006962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31849B" w:themeColor="accent5" w:themeShade="BF"/>
          <w:sz w:val="20"/>
          <w:szCs w:val="20"/>
          <w:u w:val="single"/>
        </w:rPr>
      </w:pPr>
      <w:r>
        <w:rPr>
          <w:rFonts w:ascii="Verdana" w:hAnsi="Verdana" w:cs="Verdana"/>
          <w:b/>
          <w:bCs/>
          <w:color w:val="31849B" w:themeColor="accent5" w:themeShade="BF"/>
          <w:sz w:val="20"/>
          <w:szCs w:val="20"/>
          <w:u w:val="single"/>
        </w:rPr>
        <w:t>3/ LE CONTRAT DE FORMATION</w:t>
      </w:r>
      <w:r w:rsidR="00E34E3F">
        <w:rPr>
          <w:rFonts w:ascii="Verdana" w:hAnsi="Verdana" w:cs="Verdana"/>
          <w:b/>
          <w:bCs/>
          <w:color w:val="31849B" w:themeColor="accent5" w:themeShade="BF"/>
          <w:sz w:val="20"/>
          <w:szCs w:val="20"/>
          <w:u w:val="single"/>
        </w:rPr>
        <w:t xml:space="preserve"> </w:t>
      </w:r>
    </w:p>
    <w:p w14:paraId="704E609E" w14:textId="77777777" w:rsidR="0069621F" w:rsidRPr="00F607FC" w:rsidRDefault="0069621F" w:rsidP="007B2D2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31849B" w:themeColor="accent5" w:themeShade="BF"/>
          <w:sz w:val="20"/>
          <w:szCs w:val="20"/>
          <w:u w:val="single"/>
        </w:rPr>
      </w:pPr>
    </w:p>
    <w:p w14:paraId="6DA67098" w14:textId="244A1071" w:rsidR="00E34E3F" w:rsidRPr="001D6B44" w:rsidRDefault="0069621F" w:rsidP="0069621F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774171">
        <w:rPr>
          <w:rFonts w:ascii="Verdana" w:hAnsi="Verdana"/>
          <w:sz w:val="18"/>
          <w:szCs w:val="18"/>
        </w:rPr>
        <w:t xml:space="preserve">Un contrat de formation est signé par le bénéficiaire avec l’organisme de formation, </w:t>
      </w:r>
      <w:r w:rsidR="009C7369" w:rsidRPr="00774171">
        <w:rPr>
          <w:rFonts w:ascii="Verdana" w:hAnsi="Verdana"/>
          <w:sz w:val="18"/>
          <w:szCs w:val="18"/>
        </w:rPr>
        <w:t>il a pour but de</w:t>
      </w:r>
      <w:r w:rsidRPr="00774171">
        <w:rPr>
          <w:rFonts w:ascii="Verdana" w:hAnsi="Verdana"/>
          <w:sz w:val="18"/>
          <w:szCs w:val="18"/>
        </w:rPr>
        <w:t xml:space="preserve"> matérialiser leurs engagements réciproques. Cette signature intervient au plus tard à l’entrée en formation ou à l’issue du positionnement.</w:t>
      </w:r>
      <w:r w:rsidR="00E34E3F" w:rsidRPr="00774171">
        <w:rPr>
          <w:noProof/>
          <w:sz w:val="18"/>
          <w:szCs w:val="18"/>
        </w:rPr>
        <w:t xml:space="preserve"> </w:t>
      </w:r>
    </w:p>
    <w:p w14:paraId="3280C57A" w14:textId="4A0524C6" w:rsidR="001D6B44" w:rsidRPr="00BE0099" w:rsidRDefault="001D6B44" w:rsidP="0069621F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BE0099">
        <w:rPr>
          <w:rFonts w:ascii="Verdana" w:hAnsi="Verdana"/>
          <w:noProof/>
          <w:sz w:val="18"/>
          <w:szCs w:val="18"/>
        </w:rPr>
        <w:t>Il est de la responsabilité de l’organ</w:t>
      </w:r>
      <w:r w:rsidR="00AF5523" w:rsidRPr="00BE0099">
        <w:rPr>
          <w:rFonts w:ascii="Verdana" w:hAnsi="Verdana"/>
          <w:noProof/>
          <w:sz w:val="18"/>
          <w:szCs w:val="18"/>
        </w:rPr>
        <w:t>i</w:t>
      </w:r>
      <w:r w:rsidRPr="00BE0099">
        <w:rPr>
          <w:rFonts w:ascii="Verdana" w:hAnsi="Verdana"/>
          <w:noProof/>
          <w:sz w:val="18"/>
          <w:szCs w:val="18"/>
        </w:rPr>
        <w:t xml:space="preserve">sme de formation de </w:t>
      </w:r>
      <w:r w:rsidR="00B313F2" w:rsidRPr="00BE0099">
        <w:rPr>
          <w:rFonts w:ascii="Verdana" w:hAnsi="Verdana"/>
          <w:noProof/>
          <w:sz w:val="18"/>
          <w:szCs w:val="18"/>
        </w:rPr>
        <w:t xml:space="preserve">porter une attention toute particulière aux pratiques </w:t>
      </w:r>
      <w:r w:rsidR="00AF5523" w:rsidRPr="00BE0099">
        <w:rPr>
          <w:rFonts w:ascii="Verdana" w:hAnsi="Verdana"/>
          <w:noProof/>
          <w:sz w:val="18"/>
          <w:szCs w:val="18"/>
        </w:rPr>
        <w:t xml:space="preserve">dites </w:t>
      </w:r>
      <w:r w:rsidR="00B313F2" w:rsidRPr="00BE0099">
        <w:rPr>
          <w:rFonts w:ascii="Verdana" w:hAnsi="Verdana"/>
          <w:noProof/>
          <w:sz w:val="18"/>
          <w:szCs w:val="18"/>
        </w:rPr>
        <w:t xml:space="preserve">de cumul de formations </w:t>
      </w:r>
      <w:r w:rsidR="009A3467" w:rsidRPr="00BE0099">
        <w:rPr>
          <w:rFonts w:ascii="Verdana" w:hAnsi="Verdana"/>
          <w:noProof/>
          <w:sz w:val="18"/>
          <w:szCs w:val="18"/>
        </w:rPr>
        <w:t>(notamment entre les différentes briques du PRF)</w:t>
      </w:r>
      <w:r w:rsidR="00B313F2" w:rsidRPr="00BE0099">
        <w:rPr>
          <w:rFonts w:ascii="Verdana" w:hAnsi="Verdana"/>
          <w:noProof/>
          <w:sz w:val="18"/>
          <w:szCs w:val="18"/>
        </w:rPr>
        <w:t xml:space="preserve"> qui ne s’intègre</w:t>
      </w:r>
      <w:r w:rsidR="009A3467" w:rsidRPr="00BE0099">
        <w:rPr>
          <w:rFonts w:ascii="Verdana" w:hAnsi="Verdana"/>
          <w:noProof/>
          <w:sz w:val="18"/>
          <w:szCs w:val="18"/>
        </w:rPr>
        <w:t>nt</w:t>
      </w:r>
      <w:r w:rsidR="00B313F2" w:rsidRPr="00BE0099">
        <w:rPr>
          <w:rFonts w:ascii="Verdana" w:hAnsi="Verdana"/>
          <w:noProof/>
          <w:sz w:val="18"/>
          <w:szCs w:val="18"/>
        </w:rPr>
        <w:t xml:space="preserve"> pas dans une logique de parcours et le cas échéant de faire remonter ces situations</w:t>
      </w:r>
      <w:r w:rsidR="009A3467" w:rsidRPr="00BE0099">
        <w:rPr>
          <w:rFonts w:ascii="Verdana" w:hAnsi="Verdana"/>
          <w:noProof/>
          <w:sz w:val="18"/>
          <w:szCs w:val="18"/>
        </w:rPr>
        <w:t xml:space="preserve"> particulières</w:t>
      </w:r>
      <w:r w:rsidR="00B313F2" w:rsidRPr="00BE0099">
        <w:rPr>
          <w:rFonts w:ascii="Verdana" w:hAnsi="Verdana"/>
          <w:noProof/>
          <w:sz w:val="18"/>
          <w:szCs w:val="18"/>
        </w:rPr>
        <w:t xml:space="preserve"> aux référents territoriaux de la Région.</w:t>
      </w:r>
    </w:p>
    <w:p w14:paraId="096E503F" w14:textId="77777777" w:rsidR="00E916AC" w:rsidRPr="00774171" w:rsidRDefault="00E916AC" w:rsidP="00E916AC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774171">
        <w:rPr>
          <w:rFonts w:ascii="Verdana" w:hAnsi="Verdana"/>
          <w:sz w:val="18"/>
          <w:szCs w:val="18"/>
        </w:rPr>
        <w:t>Le contrat de formation est conforme à la législation en vigueur.</w:t>
      </w:r>
    </w:p>
    <w:p w14:paraId="289CF900" w14:textId="4865725C" w:rsidR="00E916AC" w:rsidRDefault="00E916AC" w:rsidP="00E916AC">
      <w:pPr>
        <w:pStyle w:val="Paragraphedeliste"/>
        <w:spacing w:after="0" w:line="240" w:lineRule="auto"/>
        <w:jc w:val="both"/>
        <w:rPr>
          <w:rFonts w:ascii="Verdana" w:hAnsi="Verdana"/>
          <w:bCs/>
          <w:i/>
          <w:sz w:val="14"/>
          <w:szCs w:val="14"/>
        </w:rPr>
      </w:pPr>
      <w:r w:rsidRPr="009C7369">
        <w:rPr>
          <w:rFonts w:ascii="Verdana" w:hAnsi="Verdana"/>
          <w:bCs/>
          <w:i/>
          <w:sz w:val="14"/>
          <w:szCs w:val="14"/>
        </w:rPr>
        <w:lastRenderedPageBreak/>
        <w:t>NB : l’information du/de la stagiaire doit être conforme au décret 2015-790 du 30 juin 2015 portant sur la qualité. Le/la stagiaire doit pouvoir disposer de toutes les informations qui lui permettront de s’engager en connaissance de cause dans la formation et de mesurer l’investissement personnel que cet engagement représente.</w:t>
      </w:r>
    </w:p>
    <w:p w14:paraId="666EE6AB" w14:textId="77777777" w:rsidR="00492073" w:rsidRDefault="00492073" w:rsidP="00E916AC">
      <w:pPr>
        <w:pStyle w:val="Paragraphedeliste"/>
        <w:spacing w:after="0" w:line="240" w:lineRule="auto"/>
        <w:jc w:val="both"/>
        <w:rPr>
          <w:rFonts w:ascii="Verdana" w:hAnsi="Verdana"/>
          <w:bCs/>
          <w:i/>
          <w:sz w:val="14"/>
          <w:szCs w:val="14"/>
        </w:rPr>
      </w:pPr>
    </w:p>
    <w:p w14:paraId="1A3ADDE8" w14:textId="77777777" w:rsidR="00492073" w:rsidRPr="009C7369" w:rsidRDefault="00492073" w:rsidP="00E916AC">
      <w:pPr>
        <w:pStyle w:val="Paragraphedeliste"/>
        <w:spacing w:after="0" w:line="240" w:lineRule="auto"/>
        <w:jc w:val="both"/>
        <w:rPr>
          <w:rFonts w:ascii="Verdana" w:hAnsi="Verdana"/>
          <w:bCs/>
          <w:i/>
          <w:sz w:val="14"/>
          <w:szCs w:val="14"/>
        </w:rPr>
      </w:pPr>
    </w:p>
    <w:p w14:paraId="29092C4C" w14:textId="76E0FF06" w:rsidR="00E916AC" w:rsidRDefault="00E916AC" w:rsidP="00E916AC">
      <w:pPr>
        <w:pStyle w:val="Paragraphedeliste"/>
        <w:spacing w:after="0" w:line="240" w:lineRule="auto"/>
        <w:jc w:val="both"/>
        <w:rPr>
          <w:rFonts w:ascii="Verdana" w:hAnsi="Verdana"/>
          <w:bCs/>
          <w:sz w:val="16"/>
          <w:szCs w:val="16"/>
        </w:rPr>
      </w:pPr>
    </w:p>
    <w:p w14:paraId="30A46D96" w14:textId="77777777" w:rsidR="009C7369" w:rsidRDefault="009C7369" w:rsidP="00E916AC">
      <w:pPr>
        <w:pStyle w:val="Paragraphedeliste"/>
        <w:spacing w:after="0" w:line="240" w:lineRule="auto"/>
        <w:jc w:val="both"/>
        <w:rPr>
          <w:rFonts w:ascii="Verdana" w:hAnsi="Verdana"/>
          <w:bCs/>
          <w:sz w:val="16"/>
          <w:szCs w:val="16"/>
        </w:rPr>
      </w:pPr>
    </w:p>
    <w:p w14:paraId="29DFF0D7" w14:textId="4A3F0E2A" w:rsidR="00E916AC" w:rsidRDefault="00E916AC" w:rsidP="00E916AC">
      <w:pPr>
        <w:pStyle w:val="Paragraphedeliste"/>
        <w:spacing w:after="0" w:line="240" w:lineRule="auto"/>
        <w:jc w:val="both"/>
        <w:rPr>
          <w:rFonts w:ascii="Verdana" w:hAnsi="Verdana"/>
          <w:bCs/>
          <w:sz w:val="16"/>
          <w:szCs w:val="16"/>
        </w:rPr>
      </w:pPr>
    </w:p>
    <w:p w14:paraId="700F3C4B" w14:textId="7E0934E4" w:rsidR="00E916AC" w:rsidRPr="00E916AC" w:rsidRDefault="00E916AC" w:rsidP="00E916AC">
      <w:pPr>
        <w:pStyle w:val="Paragraphedeliste"/>
        <w:spacing w:after="0" w:line="240" w:lineRule="auto"/>
        <w:rPr>
          <w:rFonts w:ascii="Verdana" w:hAnsi="Verdana"/>
          <w:bCs/>
          <w:sz w:val="16"/>
          <w:szCs w:val="16"/>
        </w:rPr>
      </w:pPr>
    </w:p>
    <w:p w14:paraId="2E0EEA47" w14:textId="02881099" w:rsidR="00074417" w:rsidRDefault="00074417" w:rsidP="0007441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8F16A3D" w14:textId="3F47A2A9" w:rsidR="00074417" w:rsidRDefault="00E916AC" w:rsidP="00074417">
      <w:pPr>
        <w:spacing w:after="0" w:line="240" w:lineRule="auto"/>
        <w:jc w:val="both"/>
        <w:rPr>
          <w:rFonts w:ascii="Verdana" w:hAnsi="Verdana" w:cs="Verdana"/>
          <w:b/>
          <w:bCs/>
          <w:color w:val="31849B" w:themeColor="accent5" w:themeShade="BF"/>
          <w:sz w:val="20"/>
          <w:szCs w:val="20"/>
          <w:u w:val="single"/>
        </w:rPr>
      </w:pPr>
      <w:r>
        <w:rPr>
          <w:rFonts w:ascii="Verdana" w:hAnsi="Verdana" w:cs="Verdana"/>
          <w:b/>
          <w:bCs/>
          <w:color w:val="31849B" w:themeColor="accent5" w:themeShade="BF"/>
          <w:sz w:val="20"/>
          <w:szCs w:val="20"/>
          <w:u w:val="single"/>
        </w:rPr>
        <w:t>LES SUITES DE PARCOURS</w:t>
      </w:r>
    </w:p>
    <w:p w14:paraId="3A37F181" w14:textId="77777777" w:rsidR="00774171" w:rsidRPr="00074417" w:rsidRDefault="00774171" w:rsidP="0007441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DDDF33D" w14:textId="3FC7D426" w:rsidR="00074417" w:rsidRPr="00774171" w:rsidRDefault="00074417" w:rsidP="0069621F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774171">
        <w:rPr>
          <w:rFonts w:ascii="Verdana" w:hAnsi="Verdana"/>
          <w:noProof/>
          <w:sz w:val="18"/>
          <w:szCs w:val="18"/>
        </w:rPr>
        <w:t xml:space="preserve">En fin de formation, l’établissement final d’une </w:t>
      </w:r>
      <w:r w:rsidRPr="00774171">
        <w:rPr>
          <w:rFonts w:ascii="Verdana" w:hAnsi="Verdana"/>
          <w:b/>
          <w:bCs/>
          <w:noProof/>
          <w:sz w:val="18"/>
          <w:szCs w:val="18"/>
        </w:rPr>
        <w:t>attestation de compétences est obligatoire</w:t>
      </w:r>
      <w:r w:rsidRPr="00774171">
        <w:rPr>
          <w:rFonts w:ascii="Verdana" w:hAnsi="Verdana"/>
          <w:noProof/>
          <w:sz w:val="18"/>
          <w:szCs w:val="18"/>
        </w:rPr>
        <w:t xml:space="preserve"> pour chacun des stagiaires dès lors qu’aucune certification complète ou partielle n’a été obtenue.</w:t>
      </w:r>
    </w:p>
    <w:p w14:paraId="2C8B107B" w14:textId="5B7EA53B" w:rsidR="00740D38" w:rsidRPr="00774171" w:rsidRDefault="00740D38" w:rsidP="0069621F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774171">
        <w:rPr>
          <w:rFonts w:ascii="Verdana" w:hAnsi="Verdana"/>
          <w:noProof/>
          <w:sz w:val="18"/>
          <w:szCs w:val="18"/>
        </w:rPr>
        <w:t>En cas d’échec à la certification totale, l’organ</w:t>
      </w:r>
      <w:r w:rsidR="009C7369" w:rsidRPr="00774171">
        <w:rPr>
          <w:rFonts w:ascii="Verdana" w:hAnsi="Verdana"/>
          <w:noProof/>
          <w:sz w:val="18"/>
          <w:szCs w:val="18"/>
        </w:rPr>
        <w:t>is</w:t>
      </w:r>
      <w:r w:rsidRPr="00774171">
        <w:rPr>
          <w:rFonts w:ascii="Verdana" w:hAnsi="Verdana"/>
          <w:noProof/>
          <w:sz w:val="18"/>
          <w:szCs w:val="18"/>
        </w:rPr>
        <w:t>me de formation doit accompagner le bénéficiaire dans la construction d’une suite de parcours pour aboutir à une certification totale, ce parcours pouvant passer par des phases d’emploi.</w:t>
      </w:r>
    </w:p>
    <w:p w14:paraId="4E9FA06F" w14:textId="3171A91C" w:rsidR="00E34E3F" w:rsidRDefault="00E34E3F" w:rsidP="00E34E3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0715429" w14:textId="6C6A451E" w:rsidR="00E34E3F" w:rsidRDefault="00E34E3F" w:rsidP="00E34E3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60CA59" w14:textId="10843805" w:rsidR="00740D38" w:rsidRPr="00DC32EC" w:rsidRDefault="00740D38" w:rsidP="00DC32EC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DC32EC">
        <w:rPr>
          <w:rFonts w:ascii="Verdana" w:hAnsi="Verdana"/>
          <w:b/>
          <w:bCs/>
          <w:sz w:val="20"/>
          <w:szCs w:val="20"/>
        </w:rPr>
        <w:t xml:space="preserve">A chacune des étapes, le lien doit être maintenu avec </w:t>
      </w:r>
      <w:r w:rsidR="00DC32EC" w:rsidRPr="00DC32EC">
        <w:rPr>
          <w:rFonts w:ascii="Verdana" w:hAnsi="Verdana"/>
          <w:b/>
          <w:bCs/>
          <w:sz w:val="20"/>
          <w:szCs w:val="20"/>
        </w:rPr>
        <w:t>le SPRO/</w:t>
      </w:r>
      <w:r w:rsidRPr="00DC32EC">
        <w:rPr>
          <w:rFonts w:ascii="Verdana" w:hAnsi="Verdana"/>
          <w:b/>
          <w:bCs/>
          <w:sz w:val="20"/>
          <w:szCs w:val="20"/>
        </w:rPr>
        <w:t>CEP</w:t>
      </w:r>
    </w:p>
    <w:p w14:paraId="67AD3F66" w14:textId="77777777" w:rsidR="00E34E3F" w:rsidRPr="00E34E3F" w:rsidRDefault="00E34E3F" w:rsidP="00E34E3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234782D" w14:textId="0A62F668" w:rsidR="0069621F" w:rsidRDefault="0069621F" w:rsidP="00E916AC">
      <w:pPr>
        <w:pStyle w:val="Paragraphedeliste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951EE9A" w14:textId="6ECF52C0" w:rsidR="009872A8" w:rsidRDefault="009872A8" w:rsidP="009872A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FB382AC" w14:textId="23DB4701" w:rsidR="002527BF" w:rsidRDefault="002527BF" w:rsidP="009872A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9B414E3" w14:textId="0CC36487" w:rsidR="009F3713" w:rsidRDefault="009F3713" w:rsidP="00A0518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80E2474" w14:textId="69BF83DE" w:rsidR="004719A7" w:rsidRDefault="004719A7" w:rsidP="00A0518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15A43C3" w14:textId="05D865E4" w:rsidR="009F3713" w:rsidRPr="007925E2" w:rsidRDefault="009F3713" w:rsidP="00A05187">
      <w:pPr>
        <w:spacing w:after="0" w:line="240" w:lineRule="auto"/>
        <w:jc w:val="both"/>
        <w:rPr>
          <w:rFonts w:ascii="Verdana" w:hAnsi="Verdana"/>
          <w:b/>
          <w:i/>
          <w:sz w:val="18"/>
          <w:szCs w:val="20"/>
        </w:rPr>
      </w:pPr>
    </w:p>
    <w:sectPr w:rsidR="009F3713" w:rsidRPr="007925E2" w:rsidSect="00451CAE">
      <w:headerReference w:type="default" r:id="rId14"/>
      <w:footerReference w:type="default" r:id="rId15"/>
      <w:pgSz w:w="11906" w:h="16838"/>
      <w:pgMar w:top="720" w:right="720" w:bottom="720" w:left="720" w:header="708" w:footer="3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BB8B7" w14:textId="77777777" w:rsidR="00D535F1" w:rsidRDefault="00D535F1">
      <w:pPr>
        <w:spacing w:after="0" w:line="240" w:lineRule="auto"/>
      </w:pPr>
      <w:r>
        <w:separator/>
      </w:r>
    </w:p>
  </w:endnote>
  <w:endnote w:type="continuationSeparator" w:id="0">
    <w:p w14:paraId="3A3B76AC" w14:textId="77777777" w:rsidR="00D535F1" w:rsidRDefault="00D53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39231" w14:textId="6B4D6045" w:rsidR="00F035C2" w:rsidRPr="009C7369" w:rsidRDefault="00433C15" w:rsidP="00F035C2">
    <w:pPr>
      <w:pStyle w:val="Pieddepage"/>
      <w:jc w:val="right"/>
      <w:rPr>
        <w:sz w:val="10"/>
        <w:szCs w:val="18"/>
      </w:rPr>
    </w:pPr>
    <w:r w:rsidRPr="009C7369">
      <w:rPr>
        <w:sz w:val="10"/>
        <w:szCs w:val="18"/>
      </w:rPr>
      <w:t>Programme Régional de Formation 20</w:t>
    </w:r>
    <w:r w:rsidR="009C7369">
      <w:rPr>
        <w:sz w:val="10"/>
        <w:szCs w:val="18"/>
      </w:rPr>
      <w:t>2</w:t>
    </w:r>
    <w:r w:rsidR="00AD30D6">
      <w:rPr>
        <w:sz w:val="10"/>
        <w:szCs w:val="18"/>
      </w:rPr>
      <w:t>5</w:t>
    </w:r>
    <w:r w:rsidRPr="009C7369">
      <w:rPr>
        <w:sz w:val="10"/>
        <w:szCs w:val="18"/>
      </w:rPr>
      <w:t>-202</w:t>
    </w:r>
    <w:r w:rsidR="00AD30D6">
      <w:rPr>
        <w:sz w:val="10"/>
        <w:szCs w:val="18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2AEAF" w14:textId="77777777" w:rsidR="00D535F1" w:rsidRDefault="00D535F1">
      <w:pPr>
        <w:spacing w:after="0" w:line="240" w:lineRule="auto"/>
      </w:pPr>
      <w:r>
        <w:separator/>
      </w:r>
    </w:p>
  </w:footnote>
  <w:footnote w:type="continuationSeparator" w:id="0">
    <w:p w14:paraId="0D9DE316" w14:textId="77777777" w:rsidR="00D535F1" w:rsidRDefault="00D535F1">
      <w:pPr>
        <w:spacing w:after="0" w:line="240" w:lineRule="auto"/>
      </w:pPr>
      <w:r>
        <w:continuationSeparator/>
      </w:r>
    </w:p>
  </w:footnote>
  <w:footnote w:id="1">
    <w:p w14:paraId="5E4A3FF9" w14:textId="6F0F8D64" w:rsidR="00BB7864" w:rsidRDefault="00BB7864">
      <w:pPr>
        <w:pStyle w:val="Notedebasdepage"/>
      </w:pPr>
      <w:r>
        <w:rPr>
          <w:rStyle w:val="Appelnotedebasdep"/>
        </w:rPr>
        <w:footnoteRef/>
      </w:r>
      <w:r>
        <w:t xml:space="preserve"> Période de Mise en Situation en Milieu Professionnel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FA5EE" w14:textId="77777777" w:rsidR="00EE08FA" w:rsidRDefault="00EE08FA">
    <w:pPr>
      <w:pStyle w:val="En-tte"/>
    </w:pPr>
  </w:p>
  <w:tbl>
    <w:tblPr>
      <w:tblStyle w:val="Grilledutableau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01"/>
      <w:gridCol w:w="7688"/>
    </w:tblGrid>
    <w:tr w:rsidR="00A372F2" w14:paraId="6292DDB1" w14:textId="77777777" w:rsidTr="00CF39CE">
      <w:tc>
        <w:tcPr>
          <w:tcW w:w="2201" w:type="dxa"/>
        </w:tcPr>
        <w:p w14:paraId="1EBD8663" w14:textId="1FC140BE" w:rsidR="00A372F2" w:rsidRDefault="008A791E" w:rsidP="0042681C">
          <w:pPr>
            <w:tabs>
              <w:tab w:val="right" w:pos="1985"/>
            </w:tabs>
          </w:pPr>
          <w:r>
            <w:rPr>
              <w:rFonts w:ascii="Verdana" w:eastAsia="Times New Roman" w:hAnsi="Verdana"/>
              <w:noProof/>
              <w:color w:val="000000" w:themeColor="text1"/>
              <w:sz w:val="18"/>
              <w:szCs w:val="18"/>
              <w:lang w:eastAsia="fr-FR"/>
            </w:rPr>
            <w:drawing>
              <wp:anchor distT="0" distB="0" distL="114300" distR="114300" simplePos="0" relativeHeight="251659264" behindDoc="0" locked="0" layoutInCell="1" allowOverlap="1" wp14:anchorId="53DD8C0B" wp14:editId="755265B9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1142848" cy="636667"/>
                <wp:effectExtent l="0" t="0" r="0" b="0"/>
                <wp:wrapNone/>
                <wp:docPr id="16" name="Imag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 1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7237" cy="64468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2681C">
            <w:tab/>
          </w:r>
        </w:p>
      </w:tc>
      <w:tc>
        <w:tcPr>
          <w:tcW w:w="7688" w:type="dxa"/>
        </w:tcPr>
        <w:p w14:paraId="67D93F28" w14:textId="77777777" w:rsidR="00A372F2" w:rsidRPr="00321868" w:rsidRDefault="00A372F2" w:rsidP="00CF39CE">
          <w:pPr>
            <w:pStyle w:val="En-tte"/>
            <w:jc w:val="center"/>
            <w:rPr>
              <w:rFonts w:ascii="Verdana" w:hAnsi="Verdana"/>
              <w:color w:val="808080" w:themeColor="background1" w:themeShade="80"/>
              <w:sz w:val="28"/>
            </w:rPr>
          </w:pPr>
          <w:r w:rsidRPr="00321868">
            <w:rPr>
              <w:rFonts w:ascii="Verdana" w:hAnsi="Verdana"/>
              <w:color w:val="808080" w:themeColor="background1" w:themeShade="80"/>
              <w:sz w:val="28"/>
            </w:rPr>
            <w:t xml:space="preserve">FICHE TECHNIQUE </w:t>
          </w:r>
        </w:p>
        <w:p w14:paraId="1458CE68" w14:textId="2D458AD7" w:rsidR="00C06100" w:rsidRPr="000C288F" w:rsidRDefault="00A372F2" w:rsidP="00C06100">
          <w:pPr>
            <w:pStyle w:val="En-tte"/>
            <w:jc w:val="center"/>
            <w:rPr>
              <w:rFonts w:ascii="Verdana" w:hAnsi="Verdana"/>
              <w:color w:val="808080" w:themeColor="background1" w:themeShade="80"/>
              <w:sz w:val="32"/>
            </w:rPr>
          </w:pPr>
          <w:r w:rsidRPr="00624CB9">
            <w:rPr>
              <w:rFonts w:ascii="Verdana" w:hAnsi="Verdana"/>
              <w:color w:val="808080" w:themeColor="background1" w:themeShade="80"/>
              <w:sz w:val="32"/>
            </w:rPr>
            <w:t>« </w:t>
          </w:r>
          <w:r w:rsidR="00C06100" w:rsidRPr="000C288F">
            <w:rPr>
              <w:rFonts w:ascii="Verdana" w:hAnsi="Verdana"/>
              <w:color w:val="808080" w:themeColor="background1" w:themeShade="80"/>
              <w:sz w:val="32"/>
            </w:rPr>
            <w:t>RECRUTEMENT ET POSITIONNEMENT</w:t>
          </w:r>
          <w:r w:rsidR="000C288F" w:rsidRPr="000C288F">
            <w:rPr>
              <w:rFonts w:ascii="Verdana" w:hAnsi="Verdana"/>
              <w:color w:val="808080" w:themeColor="background1" w:themeShade="80"/>
              <w:sz w:val="32"/>
            </w:rPr>
            <w:t> »</w:t>
          </w:r>
        </w:p>
        <w:p w14:paraId="2DF31C56" w14:textId="37870BD7" w:rsidR="00A372F2" w:rsidRPr="00042294" w:rsidRDefault="00C06100" w:rsidP="00C06100">
          <w:pPr>
            <w:pStyle w:val="En-tte"/>
            <w:jc w:val="center"/>
            <w:rPr>
              <w:rFonts w:ascii="Verdana" w:hAnsi="Verdana"/>
              <w:color w:val="808080" w:themeColor="background1" w:themeShade="80"/>
              <w:sz w:val="20"/>
            </w:rPr>
          </w:pPr>
          <w:r w:rsidRPr="000C288F">
            <w:rPr>
              <w:rFonts w:ascii="Verdana" w:hAnsi="Verdana"/>
              <w:color w:val="808080" w:themeColor="background1" w:themeShade="80"/>
              <w:sz w:val="20"/>
            </w:rPr>
            <w:t xml:space="preserve">Version </w:t>
          </w:r>
          <w:r w:rsidR="00AD30D6">
            <w:rPr>
              <w:rFonts w:ascii="Verdana" w:hAnsi="Verdana"/>
              <w:color w:val="808080" w:themeColor="background1" w:themeShade="80"/>
              <w:sz w:val="20"/>
            </w:rPr>
            <w:t>novembre 2024</w:t>
          </w:r>
          <w:r w:rsidR="00A372F2" w:rsidRPr="000C288F">
            <w:rPr>
              <w:rFonts w:ascii="Verdana" w:hAnsi="Verdana"/>
              <w:color w:val="808080" w:themeColor="background1" w:themeShade="80"/>
              <w:sz w:val="20"/>
            </w:rPr>
            <w:t xml:space="preserve"> </w:t>
          </w:r>
        </w:p>
      </w:tc>
    </w:tr>
  </w:tbl>
  <w:p w14:paraId="374FAFF6" w14:textId="77777777" w:rsidR="00EE08FA" w:rsidRDefault="00EE08FA" w:rsidP="00A051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95C32"/>
    <w:multiLevelType w:val="hybridMultilevel"/>
    <w:tmpl w:val="728262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025AB"/>
    <w:multiLevelType w:val="hybridMultilevel"/>
    <w:tmpl w:val="FFF03870"/>
    <w:lvl w:ilvl="0" w:tplc="2E0E3E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E5C33"/>
    <w:multiLevelType w:val="hybridMultilevel"/>
    <w:tmpl w:val="CF98B9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F5D02"/>
    <w:multiLevelType w:val="hybridMultilevel"/>
    <w:tmpl w:val="1F729EE4"/>
    <w:lvl w:ilvl="0" w:tplc="2556D456">
      <w:start w:val="1"/>
      <w:numFmt w:val="bullet"/>
      <w:pStyle w:val="listepuce"/>
      <w:lvlText w:val="-"/>
      <w:lvlJc w:val="left"/>
      <w:pPr>
        <w:ind w:left="1060" w:hanging="360"/>
      </w:pPr>
      <w:rPr>
        <w:rFonts w:ascii="Calibri" w:hAnsi="Calibri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5AE37129"/>
    <w:multiLevelType w:val="hybridMultilevel"/>
    <w:tmpl w:val="3D9E40DC"/>
    <w:lvl w:ilvl="0" w:tplc="42ECB1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90472"/>
    <w:multiLevelType w:val="hybridMultilevel"/>
    <w:tmpl w:val="54C0B100"/>
    <w:lvl w:ilvl="0" w:tplc="373EABB0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22383821">
    <w:abstractNumId w:val="3"/>
  </w:num>
  <w:num w:numId="2" w16cid:durableId="782767463">
    <w:abstractNumId w:val="1"/>
  </w:num>
  <w:num w:numId="3" w16cid:durableId="1626348573">
    <w:abstractNumId w:val="0"/>
  </w:num>
  <w:num w:numId="4" w16cid:durableId="2094467066">
    <w:abstractNumId w:val="5"/>
  </w:num>
  <w:num w:numId="5" w16cid:durableId="1652176979">
    <w:abstractNumId w:val="4"/>
  </w:num>
  <w:num w:numId="6" w16cid:durableId="1568153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428"/>
    <w:rsid w:val="00020DCE"/>
    <w:rsid w:val="000350EA"/>
    <w:rsid w:val="00045851"/>
    <w:rsid w:val="00063E33"/>
    <w:rsid w:val="00064F77"/>
    <w:rsid w:val="00074417"/>
    <w:rsid w:val="000C0C1A"/>
    <w:rsid w:val="000C288F"/>
    <w:rsid w:val="000E29A8"/>
    <w:rsid w:val="00102E4E"/>
    <w:rsid w:val="001063B8"/>
    <w:rsid w:val="00195144"/>
    <w:rsid w:val="001D6B44"/>
    <w:rsid w:val="001F585B"/>
    <w:rsid w:val="00204A9A"/>
    <w:rsid w:val="00222883"/>
    <w:rsid w:val="002527BF"/>
    <w:rsid w:val="00295282"/>
    <w:rsid w:val="002E3E7C"/>
    <w:rsid w:val="002F38F0"/>
    <w:rsid w:val="003509E9"/>
    <w:rsid w:val="003A2304"/>
    <w:rsid w:val="003A3800"/>
    <w:rsid w:val="003B3384"/>
    <w:rsid w:val="003B6B62"/>
    <w:rsid w:val="003C2A76"/>
    <w:rsid w:val="0042681C"/>
    <w:rsid w:val="00433C15"/>
    <w:rsid w:val="00451CAE"/>
    <w:rsid w:val="004719A7"/>
    <w:rsid w:val="004754EC"/>
    <w:rsid w:val="00484387"/>
    <w:rsid w:val="00492073"/>
    <w:rsid w:val="004922F2"/>
    <w:rsid w:val="004E150F"/>
    <w:rsid w:val="00510B36"/>
    <w:rsid w:val="00552CE5"/>
    <w:rsid w:val="00592C39"/>
    <w:rsid w:val="005A7644"/>
    <w:rsid w:val="005B268D"/>
    <w:rsid w:val="005C1CB8"/>
    <w:rsid w:val="005D3DA5"/>
    <w:rsid w:val="005D5021"/>
    <w:rsid w:val="005E083E"/>
    <w:rsid w:val="005E1AF3"/>
    <w:rsid w:val="005F43AA"/>
    <w:rsid w:val="00614996"/>
    <w:rsid w:val="00620AF1"/>
    <w:rsid w:val="006246D2"/>
    <w:rsid w:val="00662281"/>
    <w:rsid w:val="00670324"/>
    <w:rsid w:val="0067378E"/>
    <w:rsid w:val="0069621F"/>
    <w:rsid w:val="006F0C79"/>
    <w:rsid w:val="0071217B"/>
    <w:rsid w:val="00740D38"/>
    <w:rsid w:val="00774171"/>
    <w:rsid w:val="00786642"/>
    <w:rsid w:val="007925E2"/>
    <w:rsid w:val="007B1C42"/>
    <w:rsid w:val="007B2D20"/>
    <w:rsid w:val="007E586E"/>
    <w:rsid w:val="008048E0"/>
    <w:rsid w:val="0081548D"/>
    <w:rsid w:val="00844D09"/>
    <w:rsid w:val="00866AF3"/>
    <w:rsid w:val="0087166E"/>
    <w:rsid w:val="00881B96"/>
    <w:rsid w:val="0089624E"/>
    <w:rsid w:val="008A791E"/>
    <w:rsid w:val="008B5730"/>
    <w:rsid w:val="008D2B0A"/>
    <w:rsid w:val="008E4C84"/>
    <w:rsid w:val="008F27BE"/>
    <w:rsid w:val="009053B6"/>
    <w:rsid w:val="009347D5"/>
    <w:rsid w:val="00940E63"/>
    <w:rsid w:val="009739C0"/>
    <w:rsid w:val="00974893"/>
    <w:rsid w:val="009872A8"/>
    <w:rsid w:val="009A3467"/>
    <w:rsid w:val="009A541B"/>
    <w:rsid w:val="009B4E83"/>
    <w:rsid w:val="009C7369"/>
    <w:rsid w:val="009F3713"/>
    <w:rsid w:val="00A05187"/>
    <w:rsid w:val="00A33428"/>
    <w:rsid w:val="00A372F2"/>
    <w:rsid w:val="00A633F7"/>
    <w:rsid w:val="00AC76BD"/>
    <w:rsid w:val="00AD30D6"/>
    <w:rsid w:val="00AF5523"/>
    <w:rsid w:val="00B027E8"/>
    <w:rsid w:val="00B313F2"/>
    <w:rsid w:val="00B34D01"/>
    <w:rsid w:val="00B502B1"/>
    <w:rsid w:val="00B908D7"/>
    <w:rsid w:val="00BA3668"/>
    <w:rsid w:val="00BB7864"/>
    <w:rsid w:val="00BE0099"/>
    <w:rsid w:val="00BE03D2"/>
    <w:rsid w:val="00BE7763"/>
    <w:rsid w:val="00BF2317"/>
    <w:rsid w:val="00C06100"/>
    <w:rsid w:val="00C35D97"/>
    <w:rsid w:val="00C451FE"/>
    <w:rsid w:val="00C64603"/>
    <w:rsid w:val="00C816DB"/>
    <w:rsid w:val="00C9376B"/>
    <w:rsid w:val="00CA0439"/>
    <w:rsid w:val="00CB24DD"/>
    <w:rsid w:val="00D535F1"/>
    <w:rsid w:val="00D6455A"/>
    <w:rsid w:val="00D74880"/>
    <w:rsid w:val="00DC32EC"/>
    <w:rsid w:val="00E34E3F"/>
    <w:rsid w:val="00E46395"/>
    <w:rsid w:val="00E72B0D"/>
    <w:rsid w:val="00E916AC"/>
    <w:rsid w:val="00EE08FA"/>
    <w:rsid w:val="00F035C2"/>
    <w:rsid w:val="00F5066C"/>
    <w:rsid w:val="00F61D94"/>
    <w:rsid w:val="00F7535A"/>
    <w:rsid w:val="00F8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0A940"/>
  <w15:docId w15:val="{5F777EF4-E7F3-4112-A567-D5D2DA9B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428"/>
  </w:style>
  <w:style w:type="paragraph" w:styleId="Titre1">
    <w:name w:val="heading 1"/>
    <w:basedOn w:val="Normal"/>
    <w:next w:val="Normal"/>
    <w:link w:val="Titre1Car"/>
    <w:uiPriority w:val="9"/>
    <w:qFormat/>
    <w:rsid w:val="00A33428"/>
    <w:pPr>
      <w:keepNext/>
      <w:pBdr>
        <w:bottom w:val="single" w:sz="12" w:space="3" w:color="99CC00"/>
      </w:pBdr>
      <w:spacing w:before="240" w:after="120" w:line="240" w:lineRule="auto"/>
      <w:jc w:val="both"/>
      <w:outlineLvl w:val="0"/>
    </w:pPr>
    <w:rPr>
      <w:rFonts w:eastAsiaTheme="minorEastAsia"/>
      <w:b/>
      <w:caps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33428"/>
    <w:rPr>
      <w:rFonts w:eastAsiaTheme="minorEastAsia"/>
      <w:b/>
      <w:caps/>
      <w:sz w:val="24"/>
      <w:lang w:eastAsia="fr-FR"/>
    </w:rPr>
  </w:style>
  <w:style w:type="table" w:styleId="Grilledutableau">
    <w:name w:val="Table Grid"/>
    <w:basedOn w:val="TableauNormal"/>
    <w:uiPriority w:val="59"/>
    <w:rsid w:val="00A33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A33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3428"/>
  </w:style>
  <w:style w:type="paragraph" w:customStyle="1" w:styleId="listepuce">
    <w:name w:val="liste à puce"/>
    <w:basedOn w:val="Corpsdetexte"/>
    <w:link w:val="listepuceCar"/>
    <w:qFormat/>
    <w:rsid w:val="00A33428"/>
    <w:pPr>
      <w:numPr>
        <w:numId w:val="1"/>
      </w:numPr>
      <w:suppressAutoHyphens/>
      <w:spacing w:before="40" w:after="40" w:line="240" w:lineRule="auto"/>
      <w:ind w:left="567" w:hanging="141"/>
      <w:jc w:val="both"/>
    </w:pPr>
    <w:rPr>
      <w:rFonts w:eastAsiaTheme="minorEastAsia"/>
      <w:bCs/>
      <w:lang w:eastAsia="fr-FR"/>
    </w:rPr>
  </w:style>
  <w:style w:type="character" w:customStyle="1" w:styleId="listepuceCar">
    <w:name w:val="liste à puce Car"/>
    <w:basedOn w:val="CorpsdetexteCar"/>
    <w:link w:val="listepuce"/>
    <w:locked/>
    <w:rsid w:val="00A33428"/>
    <w:rPr>
      <w:rFonts w:eastAsiaTheme="minorEastAsia"/>
      <w:bCs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3342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33428"/>
  </w:style>
  <w:style w:type="paragraph" w:styleId="Textedebulles">
    <w:name w:val="Balloon Text"/>
    <w:basedOn w:val="Normal"/>
    <w:link w:val="TextedebullesCar"/>
    <w:uiPriority w:val="99"/>
    <w:semiHidden/>
    <w:unhideWhenUsed/>
    <w:rsid w:val="00A33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342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F0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0C79"/>
  </w:style>
  <w:style w:type="character" w:styleId="Marquedecommentaire">
    <w:name w:val="annotation reference"/>
    <w:basedOn w:val="Policepardfaut"/>
    <w:uiPriority w:val="99"/>
    <w:semiHidden/>
    <w:unhideWhenUsed/>
    <w:rsid w:val="00C0610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0610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0610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0610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06100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9F3713"/>
    <w:pPr>
      <w:ind w:left="720"/>
      <w:contextualSpacing/>
    </w:pPr>
  </w:style>
  <w:style w:type="paragraph" w:styleId="Rvision">
    <w:name w:val="Revision"/>
    <w:hidden/>
    <w:uiPriority w:val="99"/>
    <w:semiHidden/>
    <w:rsid w:val="00BE0099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BE009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E0099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B786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B786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B78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7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mailto:rhf-cvl@agefiph.asso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03496C2-627E-43DF-8B50-28F567FE201D}" type="doc">
      <dgm:prSet loTypeId="urn:microsoft.com/office/officeart/2005/8/layout/chevron2" loCatId="process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85A4D744-EE00-4F7B-930D-8DBA6B0CF8F6}">
      <dgm:prSet phldrT="[Texte]"/>
      <dgm:spPr/>
      <dgm:t>
        <a:bodyPr/>
        <a:lstStyle/>
        <a:p>
          <a:r>
            <a:rPr lang="fr-FR" dirty="0"/>
            <a:t>Evaluation des prérequis</a:t>
          </a:r>
        </a:p>
        <a:p>
          <a:r>
            <a:rPr lang="fr-FR" dirty="0"/>
            <a:t> </a:t>
          </a:r>
        </a:p>
      </dgm:t>
    </dgm:pt>
    <dgm:pt modelId="{381DA700-01C3-43D3-AEC9-980D92E73B53}" type="parTrans" cxnId="{1A5532DC-31D3-4630-8017-57FB61791936}">
      <dgm:prSet/>
      <dgm:spPr/>
      <dgm:t>
        <a:bodyPr/>
        <a:lstStyle/>
        <a:p>
          <a:endParaRPr lang="fr-FR"/>
        </a:p>
      </dgm:t>
    </dgm:pt>
    <dgm:pt modelId="{15B7785F-9963-4C48-BA9C-F8A9EFD46F24}" type="sibTrans" cxnId="{1A5532DC-31D3-4630-8017-57FB61791936}">
      <dgm:prSet/>
      <dgm:spPr/>
      <dgm:t>
        <a:bodyPr/>
        <a:lstStyle/>
        <a:p>
          <a:endParaRPr lang="fr-FR"/>
        </a:p>
      </dgm:t>
    </dgm:pt>
    <dgm:pt modelId="{99182F8A-E3A5-40CC-AF01-526C1B581293}">
      <dgm:prSet phldrT="[Texte]" custT="1"/>
      <dgm:spPr/>
      <dgm:t>
        <a:bodyPr/>
        <a:lstStyle/>
        <a:p>
          <a:r>
            <a:rPr lang="fr-FR" sz="800"/>
            <a:t>Appétence pour le secteur professionnel visé</a:t>
          </a:r>
        </a:p>
      </dgm:t>
    </dgm:pt>
    <dgm:pt modelId="{F409F0B6-B09F-46CF-B6D6-EE16B10A00D4}" type="parTrans" cxnId="{8E5A8FB9-584D-464C-A9B7-1C85C31DF1F7}">
      <dgm:prSet/>
      <dgm:spPr/>
      <dgm:t>
        <a:bodyPr/>
        <a:lstStyle/>
        <a:p>
          <a:endParaRPr lang="fr-FR"/>
        </a:p>
      </dgm:t>
    </dgm:pt>
    <dgm:pt modelId="{0A2C48E5-8B09-44AF-B6D7-9A82694303A3}" type="sibTrans" cxnId="{8E5A8FB9-584D-464C-A9B7-1C85C31DF1F7}">
      <dgm:prSet/>
      <dgm:spPr/>
      <dgm:t>
        <a:bodyPr/>
        <a:lstStyle/>
        <a:p>
          <a:endParaRPr lang="fr-FR"/>
        </a:p>
      </dgm:t>
    </dgm:pt>
    <dgm:pt modelId="{FD4B4725-D8DF-49DB-BC99-2143DE199855}">
      <dgm:prSet phldrT="[Texte]"/>
      <dgm:spPr/>
      <dgm:t>
        <a:bodyPr/>
        <a:lstStyle/>
        <a:p>
          <a:r>
            <a:rPr lang="fr-FR"/>
            <a:t>Projet</a:t>
          </a:r>
        </a:p>
      </dgm:t>
    </dgm:pt>
    <dgm:pt modelId="{15C8E54D-FA86-48F9-9D83-695C1BF01E65}" type="parTrans" cxnId="{2DE07BF3-9BC5-46EE-A816-3AAC3EBACB9A}">
      <dgm:prSet/>
      <dgm:spPr/>
      <dgm:t>
        <a:bodyPr/>
        <a:lstStyle/>
        <a:p>
          <a:endParaRPr lang="fr-FR"/>
        </a:p>
      </dgm:t>
    </dgm:pt>
    <dgm:pt modelId="{2D264237-7688-4670-BF73-21D225D578A5}" type="sibTrans" cxnId="{2DE07BF3-9BC5-46EE-A816-3AAC3EBACB9A}">
      <dgm:prSet/>
      <dgm:spPr/>
      <dgm:t>
        <a:bodyPr/>
        <a:lstStyle/>
        <a:p>
          <a:endParaRPr lang="fr-FR"/>
        </a:p>
      </dgm:t>
    </dgm:pt>
    <dgm:pt modelId="{F46750AB-4282-4D6A-83D7-3C2397AAFCA1}">
      <dgm:prSet phldrT="[Texte]" custT="1"/>
      <dgm:spPr/>
      <dgm:t>
        <a:bodyPr/>
        <a:lstStyle/>
        <a:p>
          <a:r>
            <a:rPr lang="fr-FR" sz="800"/>
            <a:t>Motivation du bénéficiaire</a:t>
          </a:r>
        </a:p>
      </dgm:t>
    </dgm:pt>
    <dgm:pt modelId="{3E2BD0F2-B531-4D7C-B69E-18F269AFC34B}" type="parTrans" cxnId="{856C53AE-A05B-44DC-A02A-4F8DD95A7B99}">
      <dgm:prSet/>
      <dgm:spPr/>
      <dgm:t>
        <a:bodyPr/>
        <a:lstStyle/>
        <a:p>
          <a:endParaRPr lang="fr-FR"/>
        </a:p>
      </dgm:t>
    </dgm:pt>
    <dgm:pt modelId="{0623AA95-3608-4FBB-BFF3-F2767F827C84}" type="sibTrans" cxnId="{856C53AE-A05B-44DC-A02A-4F8DD95A7B99}">
      <dgm:prSet/>
      <dgm:spPr/>
      <dgm:t>
        <a:bodyPr/>
        <a:lstStyle/>
        <a:p>
          <a:endParaRPr lang="fr-FR"/>
        </a:p>
      </dgm:t>
    </dgm:pt>
    <dgm:pt modelId="{05562063-383E-4526-A015-EF1B1AE03024}">
      <dgm:prSet phldrT="[Texte]"/>
      <dgm:spPr/>
      <dgm:t>
        <a:bodyPr/>
        <a:lstStyle/>
        <a:p>
          <a:r>
            <a:rPr lang="fr-FR"/>
            <a:t>Immersion</a:t>
          </a:r>
        </a:p>
      </dgm:t>
    </dgm:pt>
    <dgm:pt modelId="{856D4A1F-C27F-413D-AE2D-8831CC60DC13}" type="parTrans" cxnId="{A3A0A940-1F54-40BE-AE16-810C398CC485}">
      <dgm:prSet/>
      <dgm:spPr/>
      <dgm:t>
        <a:bodyPr/>
        <a:lstStyle/>
        <a:p>
          <a:endParaRPr lang="fr-FR"/>
        </a:p>
      </dgm:t>
    </dgm:pt>
    <dgm:pt modelId="{36542F9C-810A-4A49-AF9B-9B352728C549}" type="sibTrans" cxnId="{A3A0A940-1F54-40BE-AE16-810C398CC485}">
      <dgm:prSet/>
      <dgm:spPr/>
      <dgm:t>
        <a:bodyPr/>
        <a:lstStyle/>
        <a:p>
          <a:endParaRPr lang="fr-FR"/>
        </a:p>
      </dgm:t>
    </dgm:pt>
    <dgm:pt modelId="{62FE06F0-B70D-4587-A229-638F353A1FF3}">
      <dgm:prSet phldrT="[Texte]" custT="1"/>
      <dgm:spPr/>
      <dgm:t>
        <a:bodyPr/>
        <a:lstStyle/>
        <a:p>
          <a:r>
            <a:rPr lang="fr-FR" sz="800"/>
            <a:t>Préconisation si nécessaire d'une période d'immersion en situation professionnelle en lien avec la structure qui a orienté le bénéficiaire</a:t>
          </a:r>
        </a:p>
      </dgm:t>
    </dgm:pt>
    <dgm:pt modelId="{0FA82A6D-778D-46F9-9270-920C9963F276}" type="parTrans" cxnId="{4D99CA54-B584-48C4-88A7-DB66128ED1E1}">
      <dgm:prSet/>
      <dgm:spPr/>
      <dgm:t>
        <a:bodyPr/>
        <a:lstStyle/>
        <a:p>
          <a:endParaRPr lang="fr-FR"/>
        </a:p>
      </dgm:t>
    </dgm:pt>
    <dgm:pt modelId="{839122B8-3B59-48B5-9D85-879CD0B35056}" type="sibTrans" cxnId="{4D99CA54-B584-48C4-88A7-DB66128ED1E1}">
      <dgm:prSet/>
      <dgm:spPr/>
      <dgm:t>
        <a:bodyPr/>
        <a:lstStyle/>
        <a:p>
          <a:endParaRPr lang="fr-FR"/>
        </a:p>
      </dgm:t>
    </dgm:pt>
    <dgm:pt modelId="{1D3F6298-0C98-4EB0-B5A7-74ECFACA20FB}">
      <dgm:prSet custT="1"/>
      <dgm:spPr/>
      <dgm:t>
        <a:bodyPr/>
        <a:lstStyle/>
        <a:p>
          <a:r>
            <a:rPr lang="fr-FR" sz="800"/>
            <a:t>Atouts, freins, leviers d’accès à la formation et à l'emploi</a:t>
          </a:r>
        </a:p>
      </dgm:t>
    </dgm:pt>
    <dgm:pt modelId="{F6A83300-25CC-4DFB-9605-8D25ECD6186A}" type="parTrans" cxnId="{C882DF39-45E4-4FD4-A1C6-36A58F57930A}">
      <dgm:prSet/>
      <dgm:spPr/>
      <dgm:t>
        <a:bodyPr/>
        <a:lstStyle/>
        <a:p>
          <a:endParaRPr lang="fr-FR"/>
        </a:p>
      </dgm:t>
    </dgm:pt>
    <dgm:pt modelId="{7A76EFBB-BD32-4BDB-9C36-57C8C670E520}" type="sibTrans" cxnId="{C882DF39-45E4-4FD4-A1C6-36A58F57930A}">
      <dgm:prSet/>
      <dgm:spPr/>
      <dgm:t>
        <a:bodyPr/>
        <a:lstStyle/>
        <a:p>
          <a:endParaRPr lang="fr-FR"/>
        </a:p>
      </dgm:t>
    </dgm:pt>
    <dgm:pt modelId="{7709135C-9F4F-4F66-943C-0FC4F64B0B48}">
      <dgm:prSet custT="1"/>
      <dgm:spPr/>
      <dgm:t>
        <a:bodyPr/>
        <a:lstStyle/>
        <a:p>
          <a:r>
            <a:rPr lang="fr-FR" sz="800"/>
            <a:t>Savoir être, motivation, autonomie</a:t>
          </a:r>
        </a:p>
      </dgm:t>
    </dgm:pt>
    <dgm:pt modelId="{5327BC71-8186-4E00-B4C9-8D42464A81FA}" type="parTrans" cxnId="{45CD4D2B-B689-4138-987D-A52C82D8D4C9}">
      <dgm:prSet/>
      <dgm:spPr/>
      <dgm:t>
        <a:bodyPr/>
        <a:lstStyle/>
        <a:p>
          <a:endParaRPr lang="fr-FR"/>
        </a:p>
      </dgm:t>
    </dgm:pt>
    <dgm:pt modelId="{C3CC04FF-A3D3-4389-8D55-65E11431E1A5}" type="sibTrans" cxnId="{45CD4D2B-B689-4138-987D-A52C82D8D4C9}">
      <dgm:prSet/>
      <dgm:spPr/>
      <dgm:t>
        <a:bodyPr/>
        <a:lstStyle/>
        <a:p>
          <a:endParaRPr lang="fr-FR"/>
        </a:p>
      </dgm:t>
    </dgm:pt>
    <dgm:pt modelId="{B17B25B4-8624-4909-A08B-3B9FCD6218FE}">
      <dgm:prSet custT="1"/>
      <dgm:spPr/>
      <dgm:t>
        <a:bodyPr/>
        <a:lstStyle/>
        <a:p>
          <a:r>
            <a:rPr lang="fr-FR" sz="800"/>
            <a:t>Maîtrise des prérequis pédagogiques et capacités d’apprentissage</a:t>
          </a:r>
        </a:p>
      </dgm:t>
    </dgm:pt>
    <dgm:pt modelId="{4C01853E-386A-458F-8867-693485D18D25}" type="parTrans" cxnId="{2A4AB2C0-3DDD-48DA-B066-9E6A4F00E484}">
      <dgm:prSet/>
      <dgm:spPr/>
      <dgm:t>
        <a:bodyPr/>
        <a:lstStyle/>
        <a:p>
          <a:endParaRPr lang="fr-FR"/>
        </a:p>
      </dgm:t>
    </dgm:pt>
    <dgm:pt modelId="{7879211D-C260-452E-BD56-32BB213B5C97}" type="sibTrans" cxnId="{2A4AB2C0-3DDD-48DA-B066-9E6A4F00E484}">
      <dgm:prSet/>
      <dgm:spPr/>
      <dgm:t>
        <a:bodyPr/>
        <a:lstStyle/>
        <a:p>
          <a:endParaRPr lang="fr-FR"/>
        </a:p>
      </dgm:t>
    </dgm:pt>
    <dgm:pt modelId="{1571DF1B-84C5-4447-B8BC-DA47C6C13DFA}">
      <dgm:prSet custT="1"/>
      <dgm:spPr/>
      <dgm:t>
        <a:bodyPr/>
        <a:lstStyle/>
        <a:p>
          <a:r>
            <a:rPr lang="fr-FR" sz="800" baseline="0">
              <a:solidFill>
                <a:sysClr val="windowText" lastClr="000000"/>
              </a:solidFill>
            </a:rPr>
            <a:t>Acquis et compétences de base à développer</a:t>
          </a:r>
        </a:p>
      </dgm:t>
    </dgm:pt>
    <dgm:pt modelId="{C5ECBF15-5002-464F-B03D-EF7FE2FB6B48}" type="parTrans" cxnId="{410C1111-8EF5-4D99-954B-BCBA341721C4}">
      <dgm:prSet/>
      <dgm:spPr/>
      <dgm:t>
        <a:bodyPr/>
        <a:lstStyle/>
        <a:p>
          <a:endParaRPr lang="fr-FR"/>
        </a:p>
      </dgm:t>
    </dgm:pt>
    <dgm:pt modelId="{B27F8EDC-9500-47E8-970F-B0A2FC0CD280}" type="sibTrans" cxnId="{410C1111-8EF5-4D99-954B-BCBA341721C4}">
      <dgm:prSet/>
      <dgm:spPr/>
      <dgm:t>
        <a:bodyPr/>
        <a:lstStyle/>
        <a:p>
          <a:endParaRPr lang="fr-FR"/>
        </a:p>
      </dgm:t>
    </dgm:pt>
    <dgm:pt modelId="{6EA75E81-7587-462D-AA86-77263497DF11}">
      <dgm:prSet phldrT="[Texte]" custT="1"/>
      <dgm:spPr/>
      <dgm:t>
        <a:bodyPr/>
        <a:lstStyle/>
        <a:p>
          <a:r>
            <a:rPr lang="fr-FR" sz="800"/>
            <a:t>Cohérence du projet et confrontation au cadre d'exercice du métier visé (activités , horaires, conditions salariales...)</a:t>
          </a:r>
        </a:p>
      </dgm:t>
    </dgm:pt>
    <dgm:pt modelId="{74E0E8D5-0E51-41BB-8128-CDA3C62CC924}" type="parTrans" cxnId="{25B5BD86-71E5-4B5E-AA4A-2C5FF3D29847}">
      <dgm:prSet/>
      <dgm:spPr/>
      <dgm:t>
        <a:bodyPr/>
        <a:lstStyle/>
        <a:p>
          <a:endParaRPr lang="fr-FR"/>
        </a:p>
      </dgm:t>
    </dgm:pt>
    <dgm:pt modelId="{76441782-3CF8-4B3B-8185-AAE66FBB4D73}" type="sibTrans" cxnId="{25B5BD86-71E5-4B5E-AA4A-2C5FF3D29847}">
      <dgm:prSet/>
      <dgm:spPr/>
      <dgm:t>
        <a:bodyPr/>
        <a:lstStyle/>
        <a:p>
          <a:endParaRPr lang="fr-FR"/>
        </a:p>
      </dgm:t>
    </dgm:pt>
    <dgm:pt modelId="{B2512BC3-53EC-4590-BC09-E8E80005E551}">
      <dgm:prSet phldrT="[Texte]" custT="1"/>
      <dgm:spPr/>
      <dgm:t>
        <a:bodyPr/>
        <a:lstStyle/>
        <a:p>
          <a:r>
            <a:rPr lang="fr-FR" sz="800"/>
            <a:t>Vérification de la volonté de l'engagement du candidat</a:t>
          </a:r>
        </a:p>
      </dgm:t>
    </dgm:pt>
    <dgm:pt modelId="{9F24F723-56D2-4DFC-8D8D-204E83BE56C6}" type="parTrans" cxnId="{24465929-600E-48FB-B48B-21E4348D665C}">
      <dgm:prSet/>
      <dgm:spPr/>
      <dgm:t>
        <a:bodyPr/>
        <a:lstStyle/>
        <a:p>
          <a:endParaRPr lang="fr-FR"/>
        </a:p>
      </dgm:t>
    </dgm:pt>
    <dgm:pt modelId="{AE8A44C9-DC88-426B-81FA-8B4CE359EDBC}" type="sibTrans" cxnId="{24465929-600E-48FB-B48B-21E4348D665C}">
      <dgm:prSet/>
      <dgm:spPr/>
      <dgm:t>
        <a:bodyPr/>
        <a:lstStyle/>
        <a:p>
          <a:endParaRPr lang="fr-FR"/>
        </a:p>
      </dgm:t>
    </dgm:pt>
    <dgm:pt modelId="{ABDFA7E5-D1F0-46BF-A5B6-4677A24D1606}">
      <dgm:prSet custT="1"/>
      <dgm:spPr/>
      <dgm:t>
        <a:bodyPr/>
        <a:lstStyle/>
        <a:p>
          <a:r>
            <a:rPr lang="fr-FR" sz="800" baseline="0">
              <a:solidFill>
                <a:sysClr val="windowText" lastClr="000000"/>
              </a:solidFill>
            </a:rPr>
            <a:t> Les adaptations nécessaires à l'accessibilité matérielle et pédagogique des personnes en situation de handicap avec l'appui possible de la ressource handicap formation</a:t>
          </a:r>
        </a:p>
      </dgm:t>
    </dgm:pt>
    <dgm:pt modelId="{55B46CC9-94BB-4C4C-9975-3B6FF81B6EBC}" type="parTrans" cxnId="{BDF3B4B0-C3BA-40C9-B2BF-42DB3086362B}">
      <dgm:prSet/>
      <dgm:spPr/>
      <dgm:t>
        <a:bodyPr/>
        <a:lstStyle/>
        <a:p>
          <a:endParaRPr lang="fr-FR"/>
        </a:p>
      </dgm:t>
    </dgm:pt>
    <dgm:pt modelId="{03CD9854-DFBA-4FF7-92C0-5F96463DA991}" type="sibTrans" cxnId="{BDF3B4B0-C3BA-40C9-B2BF-42DB3086362B}">
      <dgm:prSet/>
      <dgm:spPr/>
      <dgm:t>
        <a:bodyPr/>
        <a:lstStyle/>
        <a:p>
          <a:endParaRPr lang="fr-FR"/>
        </a:p>
      </dgm:t>
    </dgm:pt>
    <dgm:pt modelId="{3D6920C0-E7DC-4E47-8B5B-0B34AF162F78}" type="pres">
      <dgm:prSet presAssocID="{C03496C2-627E-43DF-8B50-28F567FE201D}" presName="linearFlow" presStyleCnt="0">
        <dgm:presLayoutVars>
          <dgm:dir/>
          <dgm:animLvl val="lvl"/>
          <dgm:resizeHandles val="exact"/>
        </dgm:presLayoutVars>
      </dgm:prSet>
      <dgm:spPr/>
    </dgm:pt>
    <dgm:pt modelId="{0C804D8C-06C2-4216-8871-E285B81F5903}" type="pres">
      <dgm:prSet presAssocID="{85A4D744-EE00-4F7B-930D-8DBA6B0CF8F6}" presName="composite" presStyleCnt="0"/>
      <dgm:spPr/>
    </dgm:pt>
    <dgm:pt modelId="{6CBC059A-3551-4623-A7CD-63484D162555}" type="pres">
      <dgm:prSet presAssocID="{85A4D744-EE00-4F7B-930D-8DBA6B0CF8F6}" presName="parentText" presStyleLbl="alignNode1" presStyleIdx="0" presStyleCnt="3" custScaleY="118067">
        <dgm:presLayoutVars>
          <dgm:chMax val="1"/>
          <dgm:bulletEnabled val="1"/>
        </dgm:presLayoutVars>
      </dgm:prSet>
      <dgm:spPr/>
    </dgm:pt>
    <dgm:pt modelId="{BEAD3CCD-7E61-4846-832D-86443317F49B}" type="pres">
      <dgm:prSet presAssocID="{85A4D744-EE00-4F7B-930D-8DBA6B0CF8F6}" presName="descendantText" presStyleLbl="alignAcc1" presStyleIdx="0" presStyleCnt="3" custScaleX="99969" custScaleY="127353" custLinFactNeighborX="167" custLinFactNeighborY="616">
        <dgm:presLayoutVars>
          <dgm:bulletEnabled val="1"/>
        </dgm:presLayoutVars>
      </dgm:prSet>
      <dgm:spPr/>
    </dgm:pt>
    <dgm:pt modelId="{5EF16523-405B-4FB3-B4FB-B6B958A486D0}" type="pres">
      <dgm:prSet presAssocID="{15B7785F-9963-4C48-BA9C-F8A9EFD46F24}" presName="sp" presStyleCnt="0"/>
      <dgm:spPr/>
    </dgm:pt>
    <dgm:pt modelId="{EA969407-672F-4B2A-A1F1-1DE8ECDAE478}" type="pres">
      <dgm:prSet presAssocID="{FD4B4725-D8DF-49DB-BC99-2143DE199855}" presName="composite" presStyleCnt="0"/>
      <dgm:spPr/>
    </dgm:pt>
    <dgm:pt modelId="{91312B00-94C7-49CB-AF33-17915E74E36B}" type="pres">
      <dgm:prSet presAssocID="{FD4B4725-D8DF-49DB-BC99-2143DE199855}" presName="parentText" presStyleLbl="alignNode1" presStyleIdx="1" presStyleCnt="3">
        <dgm:presLayoutVars>
          <dgm:chMax val="1"/>
          <dgm:bulletEnabled val="1"/>
        </dgm:presLayoutVars>
      </dgm:prSet>
      <dgm:spPr/>
    </dgm:pt>
    <dgm:pt modelId="{F9E5179C-6A44-4D43-AE8D-B10F10F95D80}" type="pres">
      <dgm:prSet presAssocID="{FD4B4725-D8DF-49DB-BC99-2143DE199855}" presName="descendantText" presStyleLbl="alignAcc1" presStyleIdx="1" presStyleCnt="3" custScaleX="100000">
        <dgm:presLayoutVars>
          <dgm:bulletEnabled val="1"/>
        </dgm:presLayoutVars>
      </dgm:prSet>
      <dgm:spPr/>
    </dgm:pt>
    <dgm:pt modelId="{BDB05416-02C2-4853-A784-EA989693E425}" type="pres">
      <dgm:prSet presAssocID="{2D264237-7688-4670-BF73-21D225D578A5}" presName="sp" presStyleCnt="0"/>
      <dgm:spPr/>
    </dgm:pt>
    <dgm:pt modelId="{8503A08F-9224-4315-9E55-29C8D0C8BCB8}" type="pres">
      <dgm:prSet presAssocID="{05562063-383E-4526-A015-EF1B1AE03024}" presName="composite" presStyleCnt="0"/>
      <dgm:spPr/>
    </dgm:pt>
    <dgm:pt modelId="{62AA2DD8-9BC6-4240-9E77-94C235486414}" type="pres">
      <dgm:prSet presAssocID="{05562063-383E-4526-A015-EF1B1AE03024}" presName="parentText" presStyleLbl="alignNode1" presStyleIdx="2" presStyleCnt="3">
        <dgm:presLayoutVars>
          <dgm:chMax val="1"/>
          <dgm:bulletEnabled val="1"/>
        </dgm:presLayoutVars>
      </dgm:prSet>
      <dgm:spPr/>
    </dgm:pt>
    <dgm:pt modelId="{CFCA5A1E-E583-4983-AB11-0F27548FF121}" type="pres">
      <dgm:prSet presAssocID="{05562063-383E-4526-A015-EF1B1AE03024}" presName="descendantText" presStyleLbl="alignAcc1" presStyleIdx="2" presStyleCnt="3" custScaleX="85572" custScaleY="97547" custLinFactNeighborX="-7164" custLinFactNeighborY="1">
        <dgm:presLayoutVars>
          <dgm:bulletEnabled val="1"/>
        </dgm:presLayoutVars>
      </dgm:prSet>
      <dgm:spPr/>
    </dgm:pt>
  </dgm:ptLst>
  <dgm:cxnLst>
    <dgm:cxn modelId="{29D7520C-4051-4A1F-AAEC-9FE5F577AF4F}" type="presOf" srcId="{F46750AB-4282-4D6A-83D7-3C2397AAFCA1}" destId="{F9E5179C-6A44-4D43-AE8D-B10F10F95D80}" srcOrd="0" destOrd="0" presId="urn:microsoft.com/office/officeart/2005/8/layout/chevron2"/>
    <dgm:cxn modelId="{410C1111-8EF5-4D99-954B-BCBA341721C4}" srcId="{85A4D744-EE00-4F7B-930D-8DBA6B0CF8F6}" destId="{1571DF1B-84C5-4447-B8BC-DA47C6C13DFA}" srcOrd="4" destOrd="0" parTransId="{C5ECBF15-5002-464F-B03D-EF7FE2FB6B48}" sibTransId="{B27F8EDC-9500-47E8-970F-B0A2FC0CD280}"/>
    <dgm:cxn modelId="{48C55818-21F5-4724-A924-CF79174DB7A3}" type="presOf" srcId="{05562063-383E-4526-A015-EF1B1AE03024}" destId="{62AA2DD8-9BC6-4240-9E77-94C235486414}" srcOrd="0" destOrd="0" presId="urn:microsoft.com/office/officeart/2005/8/layout/chevron2"/>
    <dgm:cxn modelId="{4554B619-B904-4F0F-9584-E8C867E34A4E}" type="presOf" srcId="{85A4D744-EE00-4F7B-930D-8DBA6B0CF8F6}" destId="{6CBC059A-3551-4623-A7CD-63484D162555}" srcOrd="0" destOrd="0" presId="urn:microsoft.com/office/officeart/2005/8/layout/chevron2"/>
    <dgm:cxn modelId="{1AD5091C-98EB-43D7-99A8-3280B2755714}" type="presOf" srcId="{1571DF1B-84C5-4447-B8BC-DA47C6C13DFA}" destId="{BEAD3CCD-7E61-4846-832D-86443317F49B}" srcOrd="0" destOrd="4" presId="urn:microsoft.com/office/officeart/2005/8/layout/chevron2"/>
    <dgm:cxn modelId="{24465929-600E-48FB-B48B-21E4348D665C}" srcId="{FD4B4725-D8DF-49DB-BC99-2143DE199855}" destId="{B2512BC3-53EC-4590-BC09-E8E80005E551}" srcOrd="1" destOrd="0" parTransId="{9F24F723-56D2-4DFC-8D8D-204E83BE56C6}" sibTransId="{AE8A44C9-DC88-426B-81FA-8B4CE359EDBC}"/>
    <dgm:cxn modelId="{45CD4D2B-B689-4138-987D-A52C82D8D4C9}" srcId="{85A4D744-EE00-4F7B-930D-8DBA6B0CF8F6}" destId="{7709135C-9F4F-4F66-943C-0FC4F64B0B48}" srcOrd="2" destOrd="0" parTransId="{5327BC71-8186-4E00-B4C9-8D42464A81FA}" sibTransId="{C3CC04FF-A3D3-4389-8D55-65E11431E1A5}"/>
    <dgm:cxn modelId="{B23A7237-3CA7-4B59-97FA-E457795644C7}" type="presOf" srcId="{7709135C-9F4F-4F66-943C-0FC4F64B0B48}" destId="{BEAD3CCD-7E61-4846-832D-86443317F49B}" srcOrd="0" destOrd="2" presId="urn:microsoft.com/office/officeart/2005/8/layout/chevron2"/>
    <dgm:cxn modelId="{C882DF39-45E4-4FD4-A1C6-36A58F57930A}" srcId="{85A4D744-EE00-4F7B-930D-8DBA6B0CF8F6}" destId="{1D3F6298-0C98-4EB0-B5A7-74ECFACA20FB}" srcOrd="1" destOrd="0" parTransId="{F6A83300-25CC-4DFB-9605-8D25ECD6186A}" sibTransId="{7A76EFBB-BD32-4BDB-9C36-57C8C670E520}"/>
    <dgm:cxn modelId="{A3A0A940-1F54-40BE-AE16-810C398CC485}" srcId="{C03496C2-627E-43DF-8B50-28F567FE201D}" destId="{05562063-383E-4526-A015-EF1B1AE03024}" srcOrd="2" destOrd="0" parTransId="{856D4A1F-C27F-413D-AE2D-8831CC60DC13}" sibTransId="{36542F9C-810A-4A49-AF9B-9B352728C549}"/>
    <dgm:cxn modelId="{949B885C-9790-4290-B387-0447C605AA21}" type="presOf" srcId="{6EA75E81-7587-462D-AA86-77263497DF11}" destId="{F9E5179C-6A44-4D43-AE8D-B10F10F95D80}" srcOrd="0" destOrd="2" presId="urn:microsoft.com/office/officeart/2005/8/layout/chevron2"/>
    <dgm:cxn modelId="{7604D071-1818-451F-B0F6-7D3FF42B1751}" type="presOf" srcId="{FD4B4725-D8DF-49DB-BC99-2143DE199855}" destId="{91312B00-94C7-49CB-AF33-17915E74E36B}" srcOrd="0" destOrd="0" presId="urn:microsoft.com/office/officeart/2005/8/layout/chevron2"/>
    <dgm:cxn modelId="{4D99CA54-B584-48C4-88A7-DB66128ED1E1}" srcId="{05562063-383E-4526-A015-EF1B1AE03024}" destId="{62FE06F0-B70D-4587-A229-638F353A1FF3}" srcOrd="0" destOrd="0" parTransId="{0FA82A6D-778D-46F9-9270-920C9963F276}" sibTransId="{839122B8-3B59-48B5-9D85-879CD0B35056}"/>
    <dgm:cxn modelId="{E35FEB5A-BFC3-4C61-86BB-6490E51784FB}" type="presOf" srcId="{B2512BC3-53EC-4590-BC09-E8E80005E551}" destId="{F9E5179C-6A44-4D43-AE8D-B10F10F95D80}" srcOrd="0" destOrd="1" presId="urn:microsoft.com/office/officeart/2005/8/layout/chevron2"/>
    <dgm:cxn modelId="{3705BB7C-9D04-4368-A841-3360385B6F96}" type="presOf" srcId="{99182F8A-E3A5-40CC-AF01-526C1B581293}" destId="{BEAD3CCD-7E61-4846-832D-86443317F49B}" srcOrd="0" destOrd="0" presId="urn:microsoft.com/office/officeart/2005/8/layout/chevron2"/>
    <dgm:cxn modelId="{25B5BD86-71E5-4B5E-AA4A-2C5FF3D29847}" srcId="{FD4B4725-D8DF-49DB-BC99-2143DE199855}" destId="{6EA75E81-7587-462D-AA86-77263497DF11}" srcOrd="2" destOrd="0" parTransId="{74E0E8D5-0E51-41BB-8128-CDA3C62CC924}" sibTransId="{76441782-3CF8-4B3B-8185-AAE66FBB4D73}"/>
    <dgm:cxn modelId="{8D540AA2-6BB2-4463-BC0F-7BAFA213205B}" type="presOf" srcId="{1D3F6298-0C98-4EB0-B5A7-74ECFACA20FB}" destId="{BEAD3CCD-7E61-4846-832D-86443317F49B}" srcOrd="0" destOrd="1" presId="urn:microsoft.com/office/officeart/2005/8/layout/chevron2"/>
    <dgm:cxn modelId="{582C69A2-F0DF-400F-8BA6-BC076CE7EF6C}" type="presOf" srcId="{62FE06F0-B70D-4587-A229-638F353A1FF3}" destId="{CFCA5A1E-E583-4983-AB11-0F27548FF121}" srcOrd="0" destOrd="0" presId="urn:microsoft.com/office/officeart/2005/8/layout/chevron2"/>
    <dgm:cxn modelId="{CDEFC3A5-E082-4C2C-9428-57699C6F6AC8}" type="presOf" srcId="{B17B25B4-8624-4909-A08B-3B9FCD6218FE}" destId="{BEAD3CCD-7E61-4846-832D-86443317F49B}" srcOrd="0" destOrd="3" presId="urn:microsoft.com/office/officeart/2005/8/layout/chevron2"/>
    <dgm:cxn modelId="{856C53AE-A05B-44DC-A02A-4F8DD95A7B99}" srcId="{FD4B4725-D8DF-49DB-BC99-2143DE199855}" destId="{F46750AB-4282-4D6A-83D7-3C2397AAFCA1}" srcOrd="0" destOrd="0" parTransId="{3E2BD0F2-B531-4D7C-B69E-18F269AFC34B}" sibTransId="{0623AA95-3608-4FBB-BFF3-F2767F827C84}"/>
    <dgm:cxn modelId="{BDF3B4B0-C3BA-40C9-B2BF-42DB3086362B}" srcId="{85A4D744-EE00-4F7B-930D-8DBA6B0CF8F6}" destId="{ABDFA7E5-D1F0-46BF-A5B6-4677A24D1606}" srcOrd="5" destOrd="0" parTransId="{55B46CC9-94BB-4C4C-9975-3B6FF81B6EBC}" sibTransId="{03CD9854-DFBA-4FF7-92C0-5F96463DA991}"/>
    <dgm:cxn modelId="{8E5A8FB9-584D-464C-A9B7-1C85C31DF1F7}" srcId="{85A4D744-EE00-4F7B-930D-8DBA6B0CF8F6}" destId="{99182F8A-E3A5-40CC-AF01-526C1B581293}" srcOrd="0" destOrd="0" parTransId="{F409F0B6-B09F-46CF-B6D6-EE16B10A00D4}" sibTransId="{0A2C48E5-8B09-44AF-B6D7-9A82694303A3}"/>
    <dgm:cxn modelId="{2A4AB2C0-3DDD-48DA-B066-9E6A4F00E484}" srcId="{85A4D744-EE00-4F7B-930D-8DBA6B0CF8F6}" destId="{B17B25B4-8624-4909-A08B-3B9FCD6218FE}" srcOrd="3" destOrd="0" parTransId="{4C01853E-386A-458F-8867-693485D18D25}" sibTransId="{7879211D-C260-452E-BD56-32BB213B5C97}"/>
    <dgm:cxn modelId="{5A3AA9C4-BFAA-47E4-8CDD-A63330DDE6AE}" type="presOf" srcId="{ABDFA7E5-D1F0-46BF-A5B6-4677A24D1606}" destId="{BEAD3CCD-7E61-4846-832D-86443317F49B}" srcOrd="0" destOrd="5" presId="urn:microsoft.com/office/officeart/2005/8/layout/chevron2"/>
    <dgm:cxn modelId="{1A5532DC-31D3-4630-8017-57FB61791936}" srcId="{C03496C2-627E-43DF-8B50-28F567FE201D}" destId="{85A4D744-EE00-4F7B-930D-8DBA6B0CF8F6}" srcOrd="0" destOrd="0" parTransId="{381DA700-01C3-43D3-AEC9-980D92E73B53}" sibTransId="{15B7785F-9963-4C48-BA9C-F8A9EFD46F24}"/>
    <dgm:cxn modelId="{CD0879E4-E948-4B8D-9CB5-A268499FB4BF}" type="presOf" srcId="{C03496C2-627E-43DF-8B50-28F567FE201D}" destId="{3D6920C0-E7DC-4E47-8B5B-0B34AF162F78}" srcOrd="0" destOrd="0" presId="urn:microsoft.com/office/officeart/2005/8/layout/chevron2"/>
    <dgm:cxn modelId="{2DE07BF3-9BC5-46EE-A816-3AAC3EBACB9A}" srcId="{C03496C2-627E-43DF-8B50-28F567FE201D}" destId="{FD4B4725-D8DF-49DB-BC99-2143DE199855}" srcOrd="1" destOrd="0" parTransId="{15C8E54D-FA86-48F9-9D83-695C1BF01E65}" sibTransId="{2D264237-7688-4670-BF73-21D225D578A5}"/>
    <dgm:cxn modelId="{1DDE3EF5-BB00-4A8C-96B2-5371D692224D}" type="presParOf" srcId="{3D6920C0-E7DC-4E47-8B5B-0B34AF162F78}" destId="{0C804D8C-06C2-4216-8871-E285B81F5903}" srcOrd="0" destOrd="0" presId="urn:microsoft.com/office/officeart/2005/8/layout/chevron2"/>
    <dgm:cxn modelId="{7327CF7B-7058-418F-9788-9A4C2D86A452}" type="presParOf" srcId="{0C804D8C-06C2-4216-8871-E285B81F5903}" destId="{6CBC059A-3551-4623-A7CD-63484D162555}" srcOrd="0" destOrd="0" presId="urn:microsoft.com/office/officeart/2005/8/layout/chevron2"/>
    <dgm:cxn modelId="{F9979990-A684-458E-BB54-4514C2E63F0C}" type="presParOf" srcId="{0C804D8C-06C2-4216-8871-E285B81F5903}" destId="{BEAD3CCD-7E61-4846-832D-86443317F49B}" srcOrd="1" destOrd="0" presId="urn:microsoft.com/office/officeart/2005/8/layout/chevron2"/>
    <dgm:cxn modelId="{A65BE451-1F68-434D-87B4-114C0EFF1EC9}" type="presParOf" srcId="{3D6920C0-E7DC-4E47-8B5B-0B34AF162F78}" destId="{5EF16523-405B-4FB3-B4FB-B6B958A486D0}" srcOrd="1" destOrd="0" presId="urn:microsoft.com/office/officeart/2005/8/layout/chevron2"/>
    <dgm:cxn modelId="{C6C9C783-A7F0-4B2D-931F-800678376577}" type="presParOf" srcId="{3D6920C0-E7DC-4E47-8B5B-0B34AF162F78}" destId="{EA969407-672F-4B2A-A1F1-1DE8ECDAE478}" srcOrd="2" destOrd="0" presId="urn:microsoft.com/office/officeart/2005/8/layout/chevron2"/>
    <dgm:cxn modelId="{5B87B03A-5998-4300-B422-FF131203F830}" type="presParOf" srcId="{EA969407-672F-4B2A-A1F1-1DE8ECDAE478}" destId="{91312B00-94C7-49CB-AF33-17915E74E36B}" srcOrd="0" destOrd="0" presId="urn:microsoft.com/office/officeart/2005/8/layout/chevron2"/>
    <dgm:cxn modelId="{806D1DFA-1A22-4392-B95F-975CA2208A3F}" type="presParOf" srcId="{EA969407-672F-4B2A-A1F1-1DE8ECDAE478}" destId="{F9E5179C-6A44-4D43-AE8D-B10F10F95D80}" srcOrd="1" destOrd="0" presId="urn:microsoft.com/office/officeart/2005/8/layout/chevron2"/>
    <dgm:cxn modelId="{EB89F8BD-52F8-40A5-8536-0AE1251B5326}" type="presParOf" srcId="{3D6920C0-E7DC-4E47-8B5B-0B34AF162F78}" destId="{BDB05416-02C2-4853-A784-EA989693E425}" srcOrd="3" destOrd="0" presId="urn:microsoft.com/office/officeart/2005/8/layout/chevron2"/>
    <dgm:cxn modelId="{318EED6E-20FE-4CBC-B87D-5CB3F0344D51}" type="presParOf" srcId="{3D6920C0-E7DC-4E47-8B5B-0B34AF162F78}" destId="{8503A08F-9224-4315-9E55-29C8D0C8BCB8}" srcOrd="4" destOrd="0" presId="urn:microsoft.com/office/officeart/2005/8/layout/chevron2"/>
    <dgm:cxn modelId="{EFD1566E-36D1-4330-927E-52663BC9C17B}" type="presParOf" srcId="{8503A08F-9224-4315-9E55-29C8D0C8BCB8}" destId="{62AA2DD8-9BC6-4240-9E77-94C235486414}" srcOrd="0" destOrd="0" presId="urn:microsoft.com/office/officeart/2005/8/layout/chevron2"/>
    <dgm:cxn modelId="{74BD377D-31FA-4C83-8A4E-A08F1E7B1A99}" type="presParOf" srcId="{8503A08F-9224-4315-9E55-29C8D0C8BCB8}" destId="{CFCA5A1E-E583-4983-AB11-0F27548FF121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BC059A-3551-4623-A7CD-63484D162555}">
      <dsp:nvSpPr>
        <dsp:cNvPr id="0" name=""/>
        <dsp:cNvSpPr/>
      </dsp:nvSpPr>
      <dsp:spPr>
        <a:xfrm rot="5400000">
          <a:off x="-48846" y="281525"/>
          <a:ext cx="1366883" cy="810402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kern="1200" dirty="0"/>
            <a:t>Evaluation des prérequis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kern="1200" dirty="0"/>
            <a:t> </a:t>
          </a:r>
        </a:p>
      </dsp:txBody>
      <dsp:txXfrm rot="-5400000">
        <a:off x="229395" y="408485"/>
        <a:ext cx="810402" cy="556481"/>
      </dsp:txXfrm>
    </dsp:sp>
    <dsp:sp modelId="{BEAD3CCD-7E61-4846-832D-86443317F49B}">
      <dsp:nvSpPr>
        <dsp:cNvPr id="0" name=""/>
        <dsp:cNvSpPr/>
      </dsp:nvSpPr>
      <dsp:spPr>
        <a:xfrm rot="5400000">
          <a:off x="2837351" y="-1779687"/>
          <a:ext cx="958353" cy="453689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800" kern="1200"/>
            <a:t>Appétence pour le secteur professionnel visé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800" kern="1200"/>
            <a:t>Atouts, freins, leviers d’accès à la formation et à l'emploi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800" kern="1200"/>
            <a:t>Savoir être, motivation, autonomie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800" kern="1200"/>
            <a:t>Maîtrise des prérequis pédagogiques et capacités d’apprentissage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800" kern="1200" baseline="0">
              <a:solidFill>
                <a:sysClr val="windowText" lastClr="000000"/>
              </a:solidFill>
            </a:rPr>
            <a:t>Acquis et compétences de base à développer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800" kern="1200" baseline="0">
              <a:solidFill>
                <a:sysClr val="windowText" lastClr="000000"/>
              </a:solidFill>
            </a:rPr>
            <a:t> Les adaptations nécessaires à l'accessibilité matérielle et pédagogique des personnes en situation de handicap avec l'appui possible de la ressource handicap formation</a:t>
          </a:r>
        </a:p>
      </dsp:txBody>
      <dsp:txXfrm rot="-5400000">
        <a:off x="1048079" y="56368"/>
        <a:ext cx="4490115" cy="864787"/>
      </dsp:txXfrm>
    </dsp:sp>
    <dsp:sp modelId="{91312B00-94C7-49CB-AF33-17915E74E36B}">
      <dsp:nvSpPr>
        <dsp:cNvPr id="0" name=""/>
        <dsp:cNvSpPr/>
      </dsp:nvSpPr>
      <dsp:spPr>
        <a:xfrm rot="5400000">
          <a:off x="55735" y="1356731"/>
          <a:ext cx="1157718" cy="810402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kern="1200"/>
            <a:t>Projet</a:t>
          </a:r>
        </a:p>
      </dsp:txBody>
      <dsp:txXfrm rot="-5400000">
        <a:off x="229393" y="1588274"/>
        <a:ext cx="810402" cy="347316"/>
      </dsp:txXfrm>
    </dsp:sp>
    <dsp:sp modelId="{F9E5179C-6A44-4D43-AE8D-B10F10F95D80}">
      <dsp:nvSpPr>
        <dsp:cNvPr id="0" name=""/>
        <dsp:cNvSpPr/>
      </dsp:nvSpPr>
      <dsp:spPr>
        <a:xfrm rot="5400000">
          <a:off x="2933520" y="-710650"/>
          <a:ext cx="752517" cy="453996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800" kern="1200"/>
            <a:t>Motivation du bénéficiaire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800" kern="1200"/>
            <a:t>Vérification de la volonté de l'engagement du candidat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800" kern="1200"/>
            <a:t>Cohérence du projet et confrontation au cadre d'exercice du métier visé (activités , horaires, conditions salariales...)</a:t>
          </a:r>
        </a:p>
      </dsp:txBody>
      <dsp:txXfrm rot="-5400000">
        <a:off x="1039797" y="1219808"/>
        <a:ext cx="4503229" cy="679047"/>
      </dsp:txXfrm>
    </dsp:sp>
    <dsp:sp modelId="{62AA2DD8-9BC6-4240-9E77-94C235486414}">
      <dsp:nvSpPr>
        <dsp:cNvPr id="0" name=""/>
        <dsp:cNvSpPr/>
      </dsp:nvSpPr>
      <dsp:spPr>
        <a:xfrm rot="5400000">
          <a:off x="55735" y="2327353"/>
          <a:ext cx="1157718" cy="810402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kern="1200"/>
            <a:t>Immersion</a:t>
          </a:r>
        </a:p>
      </dsp:txBody>
      <dsp:txXfrm rot="-5400000">
        <a:off x="229393" y="2558896"/>
        <a:ext cx="810402" cy="347316"/>
      </dsp:txXfrm>
    </dsp:sp>
    <dsp:sp modelId="{CFCA5A1E-E583-4983-AB11-0F27548FF121}">
      <dsp:nvSpPr>
        <dsp:cNvPr id="0" name=""/>
        <dsp:cNvSpPr/>
      </dsp:nvSpPr>
      <dsp:spPr>
        <a:xfrm rot="5400000">
          <a:off x="2931036" y="274329"/>
          <a:ext cx="734057" cy="451126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800" kern="1200"/>
            <a:t>Préconisation si nécessaire d'une période d'immersion en situation professionnelle en lien avec la structure qui a orienté le bénéficiaire</a:t>
          </a:r>
        </a:p>
      </dsp:txBody>
      <dsp:txXfrm rot="-5400000">
        <a:off x="1042432" y="2198767"/>
        <a:ext cx="4475431" cy="6623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06730-4E59-411B-AE1E-14F0FC9FC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817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DU CENTRE</Company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SEITE-BUDOR</dc:creator>
  <cp:lastModifiedBy>KLEIBER Estelle</cp:lastModifiedBy>
  <cp:revision>3</cp:revision>
  <cp:lastPrinted>2025-01-24T15:56:00Z</cp:lastPrinted>
  <dcterms:created xsi:type="dcterms:W3CDTF">2025-01-24T16:11:00Z</dcterms:created>
  <dcterms:modified xsi:type="dcterms:W3CDTF">2025-01-24T16:28:00Z</dcterms:modified>
</cp:coreProperties>
</file>